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74C0" w:rsidRDefault="00CE74C0">
      <w:pPr>
        <w:spacing w:line="540" w:lineRule="exact"/>
        <w:jc w:val="center"/>
        <w:rPr>
          <w:rFonts w:ascii="华文中宋" w:eastAsia="华文中宋" w:hAnsi="华文中宋" w:cs="华文中宋"/>
          <w:sz w:val="32"/>
          <w:szCs w:val="40"/>
        </w:rPr>
      </w:pPr>
    </w:p>
    <w:p w:rsidR="00CE74C0" w:rsidRDefault="00835372">
      <w:pPr>
        <w:adjustRightInd w:val="0"/>
        <w:snapToGrid w:val="0"/>
        <w:spacing w:line="360" w:lineRule="auto"/>
        <w:jc w:val="center"/>
        <w:outlineLvl w:val="0"/>
        <w:rPr>
          <w:rFonts w:ascii="黑体" w:eastAsia="黑体" w:hAnsi="黑体"/>
          <w:bCs/>
          <w:sz w:val="36"/>
          <w:szCs w:val="36"/>
        </w:rPr>
      </w:pPr>
      <w:bookmarkStart w:id="0" w:name="_Toc3910671"/>
      <w:bookmarkStart w:id="1" w:name="_Toc42508344"/>
      <w:bookmarkStart w:id="2" w:name="_Toc486320705"/>
      <w:bookmarkStart w:id="3" w:name="_Toc485366233"/>
      <w:bookmarkStart w:id="4" w:name="_Toc494447339"/>
      <w:r>
        <w:rPr>
          <w:rFonts w:ascii="黑体" w:eastAsia="黑体" w:hAnsi="黑体"/>
          <w:bCs/>
          <w:sz w:val="36"/>
          <w:szCs w:val="36"/>
        </w:rPr>
        <w:t>评</w:t>
      </w:r>
      <w:r>
        <w:rPr>
          <w:rFonts w:ascii="黑体" w:eastAsia="黑体" w:hAnsi="黑体" w:hint="eastAsia"/>
          <w:bCs/>
          <w:sz w:val="36"/>
          <w:szCs w:val="36"/>
        </w:rPr>
        <w:t>分</w:t>
      </w:r>
      <w:bookmarkEnd w:id="0"/>
      <w:bookmarkEnd w:id="1"/>
      <w:r w:rsidR="00487146">
        <w:rPr>
          <w:rFonts w:ascii="黑体" w:eastAsia="黑体" w:hAnsi="黑体" w:hint="eastAsia"/>
          <w:bCs/>
          <w:sz w:val="36"/>
          <w:szCs w:val="36"/>
        </w:rPr>
        <w:t>标准</w:t>
      </w:r>
    </w:p>
    <w:bookmarkEnd w:id="2"/>
    <w:bookmarkEnd w:id="3"/>
    <w:bookmarkEnd w:id="4"/>
    <w:p w:rsidR="00CE74C0" w:rsidRDefault="00835372">
      <w:pPr>
        <w:widowControl/>
        <w:ind w:firstLineChars="200" w:firstLine="640"/>
        <w:jc w:val="left"/>
        <w:rPr>
          <w:rFonts w:ascii="仿宋_GB2312" w:eastAsia="仿宋_GB2312" w:hAnsi="仿宋_GB2312" w:cs="仿宋_GB2312"/>
          <w:sz w:val="32"/>
          <w:szCs w:val="40"/>
        </w:rPr>
      </w:pPr>
      <w:r>
        <w:rPr>
          <w:rFonts w:ascii="仿宋_GB2312" w:eastAsia="仿宋_GB2312" w:hAnsi="仿宋_GB2312" w:cs="仿宋_GB2312" w:hint="eastAsia"/>
          <w:sz w:val="32"/>
          <w:szCs w:val="40"/>
        </w:rPr>
        <w:t>本次采用综合评分法，总分为100分。统一由公司根据报价、资质条件等评价要素进行综合评定后公布结果。</w:t>
      </w:r>
    </w:p>
    <w:p w:rsidR="00CE74C0" w:rsidRDefault="00835372">
      <w:pPr>
        <w:widowControl/>
        <w:ind w:firstLineChars="200" w:firstLine="640"/>
        <w:jc w:val="left"/>
        <w:rPr>
          <w:rFonts w:ascii="仿宋_GB2312" w:eastAsia="仿宋_GB2312" w:hAnsi="仿宋_GB2312" w:cs="仿宋_GB2312"/>
          <w:sz w:val="32"/>
          <w:szCs w:val="40"/>
        </w:rPr>
      </w:pPr>
      <w:r>
        <w:rPr>
          <w:rFonts w:ascii="仿宋_GB2312" w:eastAsia="仿宋_GB2312" w:hAnsi="仿宋_GB2312" w:cs="仿宋_GB2312" w:hint="eastAsia"/>
          <w:sz w:val="32"/>
          <w:szCs w:val="40"/>
        </w:rPr>
        <w:t>评分内容及标准具体如下：</w:t>
      </w:r>
    </w:p>
    <w:tbl>
      <w:tblPr>
        <w:tblW w:w="1039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00"/>
        <w:gridCol w:w="1123"/>
        <w:gridCol w:w="1165"/>
        <w:gridCol w:w="7208"/>
      </w:tblGrid>
      <w:tr w:rsidR="00CE74C0">
        <w:trPr>
          <w:trHeight w:val="639"/>
          <w:jc w:val="center"/>
        </w:trPr>
        <w:tc>
          <w:tcPr>
            <w:tcW w:w="10396" w:type="dxa"/>
            <w:gridSpan w:val="4"/>
            <w:shd w:val="clear" w:color="auto" w:fill="BEBEBE"/>
            <w:vAlign w:val="center"/>
          </w:tcPr>
          <w:p w:rsidR="00CE74C0" w:rsidRDefault="00835372">
            <w:pPr>
              <w:autoSpaceDE w:val="0"/>
              <w:autoSpaceDN w:val="0"/>
              <w:adjustRightInd w:val="0"/>
              <w:spacing w:line="336" w:lineRule="auto"/>
              <w:jc w:val="center"/>
              <w:rPr>
                <w:rFonts w:ascii="宋体" w:eastAsia="宋体" w:hAnsi="宋体" w:cs="宋体"/>
                <w:b/>
                <w:kern w:val="0"/>
                <w:sz w:val="24"/>
              </w:rPr>
            </w:pPr>
            <w:r>
              <w:rPr>
                <w:rFonts w:ascii="宋体" w:eastAsia="宋体" w:hAnsi="宋体" w:cs="宋体" w:hint="eastAsia"/>
                <w:b/>
                <w:kern w:val="0"/>
                <w:sz w:val="24"/>
              </w:rPr>
              <w:t>分值构成与评审标准</w:t>
            </w:r>
          </w:p>
        </w:tc>
      </w:tr>
      <w:tr w:rsidR="00CE74C0">
        <w:trPr>
          <w:trHeight w:val="454"/>
          <w:jc w:val="center"/>
        </w:trPr>
        <w:tc>
          <w:tcPr>
            <w:tcW w:w="2023" w:type="dxa"/>
            <w:gridSpan w:val="2"/>
            <w:vAlign w:val="center"/>
          </w:tcPr>
          <w:p w:rsidR="00CE74C0" w:rsidRDefault="00835372">
            <w:pPr>
              <w:autoSpaceDE w:val="0"/>
              <w:autoSpaceDN w:val="0"/>
              <w:adjustRightInd w:val="0"/>
              <w:spacing w:line="336" w:lineRule="auto"/>
              <w:jc w:val="center"/>
              <w:rPr>
                <w:rFonts w:ascii="宋体" w:eastAsia="宋体" w:hAnsi="宋体" w:cs="宋体"/>
                <w:b/>
                <w:kern w:val="0"/>
                <w:sz w:val="24"/>
              </w:rPr>
            </w:pPr>
            <w:r>
              <w:rPr>
                <w:rFonts w:ascii="宋体" w:eastAsia="宋体" w:hAnsi="宋体" w:cs="宋体" w:hint="eastAsia"/>
                <w:b/>
                <w:kern w:val="0"/>
                <w:sz w:val="24"/>
              </w:rPr>
              <w:t>条款号</w:t>
            </w:r>
          </w:p>
        </w:tc>
        <w:tc>
          <w:tcPr>
            <w:tcW w:w="1165" w:type="dxa"/>
            <w:vAlign w:val="center"/>
          </w:tcPr>
          <w:p w:rsidR="00CE74C0" w:rsidRDefault="00835372">
            <w:pPr>
              <w:autoSpaceDE w:val="0"/>
              <w:autoSpaceDN w:val="0"/>
              <w:adjustRightInd w:val="0"/>
              <w:spacing w:line="336" w:lineRule="auto"/>
              <w:jc w:val="center"/>
              <w:rPr>
                <w:rFonts w:ascii="宋体" w:eastAsia="宋体" w:hAnsi="宋体" w:cs="宋体"/>
                <w:b/>
                <w:kern w:val="0"/>
                <w:sz w:val="24"/>
              </w:rPr>
            </w:pPr>
            <w:r>
              <w:rPr>
                <w:rFonts w:ascii="宋体" w:eastAsia="宋体" w:hAnsi="宋体" w:cs="宋体" w:hint="eastAsia"/>
                <w:b/>
                <w:kern w:val="0"/>
                <w:sz w:val="24"/>
              </w:rPr>
              <w:t>条款内容</w:t>
            </w:r>
          </w:p>
        </w:tc>
        <w:tc>
          <w:tcPr>
            <w:tcW w:w="7208" w:type="dxa"/>
            <w:vAlign w:val="center"/>
          </w:tcPr>
          <w:p w:rsidR="00CE74C0" w:rsidRDefault="00835372">
            <w:pPr>
              <w:autoSpaceDE w:val="0"/>
              <w:autoSpaceDN w:val="0"/>
              <w:adjustRightInd w:val="0"/>
              <w:spacing w:line="336" w:lineRule="auto"/>
              <w:jc w:val="center"/>
              <w:rPr>
                <w:rFonts w:ascii="宋体" w:eastAsia="宋体" w:hAnsi="宋体" w:cs="宋体"/>
                <w:b/>
                <w:kern w:val="0"/>
                <w:sz w:val="24"/>
              </w:rPr>
            </w:pPr>
            <w:r>
              <w:rPr>
                <w:rFonts w:ascii="宋体" w:eastAsia="宋体" w:hAnsi="宋体" w:cs="宋体" w:hint="eastAsia"/>
                <w:b/>
                <w:kern w:val="0"/>
                <w:sz w:val="24"/>
              </w:rPr>
              <w:t>编列内容</w:t>
            </w:r>
          </w:p>
        </w:tc>
      </w:tr>
      <w:tr w:rsidR="00CE74C0">
        <w:trPr>
          <w:trHeight w:val="454"/>
          <w:jc w:val="center"/>
        </w:trPr>
        <w:tc>
          <w:tcPr>
            <w:tcW w:w="2023" w:type="dxa"/>
            <w:gridSpan w:val="2"/>
            <w:vAlign w:val="center"/>
          </w:tcPr>
          <w:p w:rsidR="00CE74C0" w:rsidRDefault="00835372">
            <w:pPr>
              <w:kinsoku w:val="0"/>
              <w:overflowPunct w:val="0"/>
              <w:autoSpaceDE w:val="0"/>
              <w:autoSpaceDN w:val="0"/>
              <w:adjustRightInd w:val="0"/>
              <w:spacing w:line="336" w:lineRule="auto"/>
              <w:jc w:val="center"/>
              <w:rPr>
                <w:rFonts w:ascii="宋体" w:eastAsia="宋体" w:hAnsi="宋体" w:cs="宋体"/>
                <w:sz w:val="24"/>
              </w:rPr>
            </w:pPr>
            <w:r>
              <w:rPr>
                <w:rFonts w:ascii="宋体" w:eastAsia="宋体" w:hAnsi="宋体" w:cs="宋体" w:hint="eastAsia"/>
                <w:sz w:val="24"/>
              </w:rPr>
              <w:t>3.1</w:t>
            </w:r>
          </w:p>
        </w:tc>
        <w:tc>
          <w:tcPr>
            <w:tcW w:w="1165" w:type="dxa"/>
            <w:vAlign w:val="center"/>
          </w:tcPr>
          <w:p w:rsidR="00CE74C0" w:rsidRDefault="00835372">
            <w:pPr>
              <w:kinsoku w:val="0"/>
              <w:overflowPunct w:val="0"/>
              <w:autoSpaceDE w:val="0"/>
              <w:autoSpaceDN w:val="0"/>
              <w:adjustRightInd w:val="0"/>
              <w:spacing w:line="336" w:lineRule="auto"/>
              <w:jc w:val="center"/>
              <w:rPr>
                <w:rFonts w:ascii="宋体" w:eastAsia="宋体" w:hAnsi="宋体" w:cs="宋体"/>
                <w:sz w:val="24"/>
              </w:rPr>
            </w:pPr>
            <w:r>
              <w:rPr>
                <w:rFonts w:ascii="宋体" w:eastAsia="宋体" w:hAnsi="宋体" w:cs="宋体" w:hint="eastAsia"/>
                <w:sz w:val="24"/>
              </w:rPr>
              <w:t>分值构成</w:t>
            </w:r>
          </w:p>
          <w:p w:rsidR="00CE74C0" w:rsidRDefault="00835372">
            <w:pPr>
              <w:kinsoku w:val="0"/>
              <w:overflowPunct w:val="0"/>
              <w:autoSpaceDE w:val="0"/>
              <w:autoSpaceDN w:val="0"/>
              <w:adjustRightInd w:val="0"/>
              <w:spacing w:line="336" w:lineRule="auto"/>
              <w:jc w:val="center"/>
              <w:rPr>
                <w:rFonts w:ascii="宋体" w:eastAsia="宋体" w:hAnsi="宋体" w:cs="宋体"/>
                <w:sz w:val="24"/>
              </w:rPr>
            </w:pPr>
            <w:r>
              <w:rPr>
                <w:rFonts w:ascii="宋体" w:eastAsia="宋体" w:hAnsi="宋体" w:cs="宋体" w:hint="eastAsia"/>
                <w:sz w:val="24"/>
              </w:rPr>
              <w:t>（总分100分）</w:t>
            </w:r>
          </w:p>
        </w:tc>
        <w:tc>
          <w:tcPr>
            <w:tcW w:w="7208" w:type="dxa"/>
            <w:vAlign w:val="center"/>
          </w:tcPr>
          <w:p w:rsidR="00CE74C0" w:rsidRDefault="00835372">
            <w:pPr>
              <w:tabs>
                <w:tab w:val="left" w:pos="1889"/>
                <w:tab w:val="left" w:pos="2309"/>
              </w:tabs>
              <w:kinsoku w:val="0"/>
              <w:overflowPunct w:val="0"/>
              <w:autoSpaceDE w:val="0"/>
              <w:autoSpaceDN w:val="0"/>
              <w:adjustRightInd w:val="0"/>
              <w:spacing w:line="336" w:lineRule="auto"/>
              <w:rPr>
                <w:rFonts w:ascii="宋体" w:eastAsia="宋体" w:hAnsi="宋体" w:cs="宋体"/>
                <w:sz w:val="24"/>
              </w:rPr>
            </w:pPr>
            <w:r>
              <w:rPr>
                <w:rFonts w:ascii="宋体" w:eastAsia="宋体" w:hAnsi="宋体" w:cs="宋体" w:hint="eastAsia"/>
                <w:spacing w:val="-2"/>
                <w:sz w:val="24"/>
              </w:rPr>
              <w:t>商务部分：</w:t>
            </w:r>
            <w:r>
              <w:rPr>
                <w:rFonts w:ascii="宋体" w:eastAsia="宋体" w:hAnsi="宋体" w:cs="宋体" w:hint="eastAsia"/>
                <w:spacing w:val="-2"/>
                <w:sz w:val="24"/>
                <w:u w:val="single"/>
              </w:rPr>
              <w:t xml:space="preserve"> 25 </w:t>
            </w:r>
            <w:r>
              <w:rPr>
                <w:rFonts w:ascii="宋体" w:eastAsia="宋体" w:hAnsi="宋体" w:cs="宋体" w:hint="eastAsia"/>
                <w:sz w:val="24"/>
              </w:rPr>
              <w:t>分</w:t>
            </w:r>
          </w:p>
          <w:p w:rsidR="00CE74C0" w:rsidRDefault="00835372">
            <w:pPr>
              <w:tabs>
                <w:tab w:val="left" w:pos="1889"/>
                <w:tab w:val="left" w:pos="2309"/>
              </w:tabs>
              <w:kinsoku w:val="0"/>
              <w:overflowPunct w:val="0"/>
              <w:autoSpaceDE w:val="0"/>
              <w:autoSpaceDN w:val="0"/>
              <w:adjustRightInd w:val="0"/>
              <w:spacing w:line="336" w:lineRule="auto"/>
              <w:rPr>
                <w:rFonts w:ascii="宋体" w:eastAsia="宋体" w:hAnsi="宋体" w:cs="宋体"/>
                <w:sz w:val="24"/>
              </w:rPr>
            </w:pPr>
            <w:r>
              <w:rPr>
                <w:rFonts w:ascii="宋体" w:eastAsia="宋体" w:hAnsi="宋体" w:cs="宋体" w:hint="eastAsia"/>
                <w:spacing w:val="-2"/>
                <w:sz w:val="24"/>
              </w:rPr>
              <w:t>技术部分：</w:t>
            </w:r>
            <w:r>
              <w:rPr>
                <w:rFonts w:ascii="宋体" w:eastAsia="宋体" w:hAnsi="宋体" w:cs="宋体" w:hint="eastAsia"/>
                <w:spacing w:val="-2"/>
                <w:sz w:val="24"/>
                <w:u w:val="single"/>
              </w:rPr>
              <w:t xml:space="preserve"> 60 </w:t>
            </w:r>
            <w:r>
              <w:rPr>
                <w:rFonts w:ascii="宋体" w:eastAsia="宋体" w:hAnsi="宋体" w:cs="宋体" w:hint="eastAsia"/>
                <w:sz w:val="24"/>
              </w:rPr>
              <w:t>分</w:t>
            </w:r>
          </w:p>
          <w:p w:rsidR="00CE74C0" w:rsidRDefault="00835372">
            <w:pPr>
              <w:tabs>
                <w:tab w:val="left" w:pos="1889"/>
                <w:tab w:val="left" w:pos="2309"/>
              </w:tabs>
              <w:kinsoku w:val="0"/>
              <w:overflowPunct w:val="0"/>
              <w:autoSpaceDE w:val="0"/>
              <w:autoSpaceDN w:val="0"/>
              <w:adjustRightInd w:val="0"/>
              <w:spacing w:line="336" w:lineRule="auto"/>
              <w:rPr>
                <w:rFonts w:ascii="宋体" w:eastAsia="宋体" w:hAnsi="宋体" w:cs="宋体"/>
                <w:sz w:val="24"/>
              </w:rPr>
            </w:pPr>
            <w:r>
              <w:rPr>
                <w:rFonts w:ascii="宋体" w:eastAsia="宋体" w:hAnsi="宋体" w:cs="宋体" w:hint="eastAsia"/>
                <w:spacing w:val="-2"/>
                <w:sz w:val="24"/>
              </w:rPr>
              <w:t>报价：</w:t>
            </w:r>
            <w:r>
              <w:rPr>
                <w:rFonts w:ascii="宋体" w:eastAsia="宋体" w:hAnsi="宋体" w:cs="宋体" w:hint="eastAsia"/>
                <w:spacing w:val="-2"/>
                <w:sz w:val="24"/>
                <w:u w:val="single"/>
              </w:rPr>
              <w:t xml:space="preserve"> 15 </w:t>
            </w:r>
            <w:r>
              <w:rPr>
                <w:rFonts w:ascii="宋体" w:eastAsia="宋体" w:hAnsi="宋体" w:cs="宋体" w:hint="eastAsia"/>
                <w:sz w:val="24"/>
              </w:rPr>
              <w:t>分</w:t>
            </w:r>
          </w:p>
        </w:tc>
      </w:tr>
      <w:tr w:rsidR="00CE74C0">
        <w:trPr>
          <w:trHeight w:val="454"/>
          <w:jc w:val="center"/>
        </w:trPr>
        <w:tc>
          <w:tcPr>
            <w:tcW w:w="2023" w:type="dxa"/>
            <w:gridSpan w:val="2"/>
            <w:vAlign w:val="center"/>
          </w:tcPr>
          <w:p w:rsidR="00CE74C0" w:rsidRDefault="00835372">
            <w:pPr>
              <w:kinsoku w:val="0"/>
              <w:overflowPunct w:val="0"/>
              <w:autoSpaceDE w:val="0"/>
              <w:autoSpaceDN w:val="0"/>
              <w:adjustRightInd w:val="0"/>
              <w:spacing w:line="336" w:lineRule="auto"/>
              <w:jc w:val="center"/>
              <w:rPr>
                <w:rFonts w:ascii="宋体" w:eastAsia="宋体" w:hAnsi="宋体" w:cs="宋体"/>
                <w:sz w:val="24"/>
              </w:rPr>
            </w:pPr>
            <w:r>
              <w:rPr>
                <w:rFonts w:ascii="宋体" w:eastAsia="宋体" w:hAnsi="宋体" w:cs="宋体" w:hint="eastAsia"/>
                <w:b/>
                <w:sz w:val="24"/>
              </w:rPr>
              <w:t>条款号</w:t>
            </w:r>
          </w:p>
        </w:tc>
        <w:tc>
          <w:tcPr>
            <w:tcW w:w="1165" w:type="dxa"/>
            <w:vAlign w:val="center"/>
          </w:tcPr>
          <w:p w:rsidR="00CE74C0" w:rsidRDefault="00835372">
            <w:pPr>
              <w:autoSpaceDE w:val="0"/>
              <w:autoSpaceDN w:val="0"/>
              <w:adjustRightInd w:val="0"/>
              <w:spacing w:line="336" w:lineRule="auto"/>
              <w:jc w:val="center"/>
              <w:rPr>
                <w:rFonts w:ascii="宋体" w:eastAsia="宋体" w:hAnsi="宋体" w:cs="宋体"/>
                <w:b/>
                <w:kern w:val="0"/>
                <w:sz w:val="24"/>
              </w:rPr>
            </w:pPr>
            <w:r>
              <w:rPr>
                <w:rFonts w:ascii="宋体" w:eastAsia="宋体" w:hAnsi="宋体" w:cs="宋体" w:hint="eastAsia"/>
                <w:b/>
                <w:kern w:val="0"/>
                <w:sz w:val="24"/>
              </w:rPr>
              <w:t>评分因素</w:t>
            </w:r>
          </w:p>
        </w:tc>
        <w:tc>
          <w:tcPr>
            <w:tcW w:w="7208" w:type="dxa"/>
            <w:vAlign w:val="center"/>
          </w:tcPr>
          <w:p w:rsidR="00CE74C0" w:rsidRDefault="00835372">
            <w:pPr>
              <w:autoSpaceDE w:val="0"/>
              <w:autoSpaceDN w:val="0"/>
              <w:adjustRightInd w:val="0"/>
              <w:spacing w:line="336" w:lineRule="auto"/>
              <w:jc w:val="center"/>
              <w:rPr>
                <w:rFonts w:ascii="宋体" w:eastAsia="宋体" w:hAnsi="宋体" w:cs="宋体"/>
                <w:b/>
                <w:kern w:val="0"/>
                <w:sz w:val="24"/>
              </w:rPr>
            </w:pPr>
            <w:r>
              <w:rPr>
                <w:rFonts w:ascii="宋体" w:eastAsia="宋体" w:hAnsi="宋体" w:cs="宋体" w:hint="eastAsia"/>
                <w:b/>
                <w:kern w:val="0"/>
                <w:sz w:val="24"/>
              </w:rPr>
              <w:t>评审标准</w:t>
            </w:r>
          </w:p>
        </w:tc>
      </w:tr>
      <w:tr w:rsidR="00CE74C0">
        <w:trPr>
          <w:trHeight w:val="3086"/>
          <w:jc w:val="center"/>
        </w:trPr>
        <w:tc>
          <w:tcPr>
            <w:tcW w:w="900" w:type="dxa"/>
            <w:vMerge w:val="restart"/>
            <w:vAlign w:val="center"/>
          </w:tcPr>
          <w:p w:rsidR="00CE74C0" w:rsidRDefault="00835372">
            <w:pPr>
              <w:kinsoku w:val="0"/>
              <w:overflowPunct w:val="0"/>
              <w:autoSpaceDE w:val="0"/>
              <w:autoSpaceDN w:val="0"/>
              <w:adjustRightInd w:val="0"/>
              <w:spacing w:line="336" w:lineRule="auto"/>
              <w:jc w:val="center"/>
              <w:rPr>
                <w:rFonts w:ascii="宋体" w:eastAsia="宋体" w:hAnsi="宋体" w:cs="宋体"/>
                <w:sz w:val="24"/>
              </w:rPr>
            </w:pPr>
            <w:r>
              <w:rPr>
                <w:rFonts w:ascii="宋体" w:eastAsia="宋体" w:hAnsi="宋体" w:cs="宋体" w:hint="eastAsia"/>
                <w:sz w:val="24"/>
              </w:rPr>
              <w:t>3.2</w:t>
            </w:r>
          </w:p>
          <w:p w:rsidR="00CE74C0" w:rsidRDefault="00835372">
            <w:pPr>
              <w:kinsoku w:val="0"/>
              <w:overflowPunct w:val="0"/>
              <w:autoSpaceDE w:val="0"/>
              <w:autoSpaceDN w:val="0"/>
              <w:adjustRightInd w:val="0"/>
              <w:spacing w:line="336" w:lineRule="auto"/>
              <w:jc w:val="center"/>
              <w:rPr>
                <w:rFonts w:ascii="宋体" w:eastAsia="宋体" w:hAnsi="宋体" w:cs="宋体"/>
                <w:sz w:val="24"/>
              </w:rPr>
            </w:pPr>
            <w:r>
              <w:rPr>
                <w:rFonts w:ascii="宋体" w:eastAsia="宋体" w:hAnsi="宋体" w:cs="宋体" w:hint="eastAsia"/>
                <w:sz w:val="24"/>
              </w:rPr>
              <w:t>（1）</w:t>
            </w:r>
          </w:p>
        </w:tc>
        <w:tc>
          <w:tcPr>
            <w:tcW w:w="1123" w:type="dxa"/>
            <w:vMerge w:val="restart"/>
            <w:vAlign w:val="center"/>
          </w:tcPr>
          <w:p w:rsidR="00CE74C0" w:rsidRDefault="00835372">
            <w:pPr>
              <w:kinsoku w:val="0"/>
              <w:overflowPunct w:val="0"/>
              <w:autoSpaceDE w:val="0"/>
              <w:autoSpaceDN w:val="0"/>
              <w:adjustRightInd w:val="0"/>
              <w:spacing w:line="336" w:lineRule="auto"/>
              <w:jc w:val="center"/>
              <w:rPr>
                <w:rFonts w:ascii="宋体" w:eastAsia="宋体" w:hAnsi="宋体" w:cs="宋体"/>
                <w:sz w:val="24"/>
              </w:rPr>
            </w:pPr>
            <w:r>
              <w:rPr>
                <w:rFonts w:ascii="宋体" w:eastAsia="宋体" w:hAnsi="宋体" w:cs="宋体" w:hint="eastAsia"/>
                <w:sz w:val="24"/>
              </w:rPr>
              <w:t>商务评审标准（25分）</w:t>
            </w:r>
          </w:p>
        </w:tc>
        <w:tc>
          <w:tcPr>
            <w:tcW w:w="1165" w:type="dxa"/>
            <w:vAlign w:val="center"/>
          </w:tcPr>
          <w:p w:rsidR="00CE74C0" w:rsidRDefault="00835372">
            <w:pPr>
              <w:kinsoku w:val="0"/>
              <w:overflowPunct w:val="0"/>
              <w:autoSpaceDE w:val="0"/>
              <w:autoSpaceDN w:val="0"/>
              <w:adjustRightInd w:val="0"/>
              <w:spacing w:line="336" w:lineRule="auto"/>
              <w:jc w:val="center"/>
              <w:rPr>
                <w:rFonts w:ascii="宋体" w:eastAsia="宋体" w:hAnsi="宋体" w:cs="宋体"/>
                <w:sz w:val="24"/>
              </w:rPr>
            </w:pPr>
            <w:r>
              <w:rPr>
                <w:rFonts w:ascii="宋体" w:eastAsia="宋体" w:hAnsi="宋体" w:cs="宋体" w:hint="eastAsia"/>
                <w:sz w:val="24"/>
              </w:rPr>
              <w:t>执业记录</w:t>
            </w:r>
          </w:p>
          <w:p w:rsidR="00CE74C0" w:rsidRDefault="00835372">
            <w:pPr>
              <w:kinsoku w:val="0"/>
              <w:overflowPunct w:val="0"/>
              <w:autoSpaceDE w:val="0"/>
              <w:autoSpaceDN w:val="0"/>
              <w:adjustRightInd w:val="0"/>
              <w:spacing w:line="336" w:lineRule="auto"/>
              <w:jc w:val="center"/>
              <w:rPr>
                <w:rFonts w:ascii="宋体" w:eastAsia="宋体" w:hAnsi="宋体" w:cs="宋体"/>
                <w:sz w:val="24"/>
              </w:rPr>
            </w:pPr>
            <w:r>
              <w:rPr>
                <w:rFonts w:ascii="宋体" w:eastAsia="宋体" w:hAnsi="宋体" w:cs="宋体" w:hint="eastAsia"/>
                <w:sz w:val="24"/>
              </w:rPr>
              <w:t>（10分）</w:t>
            </w:r>
          </w:p>
        </w:tc>
        <w:tc>
          <w:tcPr>
            <w:tcW w:w="7208" w:type="dxa"/>
            <w:vAlign w:val="center"/>
          </w:tcPr>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报价人自2021年1月1日以来为广西上市公司提供年报审计服务的客户家数为准，提供一个即获得基础分4分，每多提供一个加2分，满分10分。</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审计业务约定书或合同书以签订时间为准，能清晰反映项目名称、金额、执行时间、服务内容及双方盖章等，提供复印件并加盖会计师事务所公章。如因保密性条款要求，无法提供审计业务约定书或合同书及验收报告等相关材料复印件的，则需提供关于完成项目的案例描述文档，需重点展现该项目的完成过程及最终成果，并加盖会计师事务所公章。各报价人对案例描述的真实性负责。</w:t>
            </w:r>
          </w:p>
        </w:tc>
      </w:tr>
      <w:tr w:rsidR="00CE74C0">
        <w:trPr>
          <w:trHeight w:val="5524"/>
          <w:jc w:val="center"/>
        </w:trPr>
        <w:tc>
          <w:tcPr>
            <w:tcW w:w="900" w:type="dxa"/>
            <w:vMerge/>
            <w:vAlign w:val="center"/>
          </w:tcPr>
          <w:p w:rsidR="00CE74C0" w:rsidRDefault="00CE74C0">
            <w:pPr>
              <w:kinsoku w:val="0"/>
              <w:overflowPunct w:val="0"/>
              <w:autoSpaceDE w:val="0"/>
              <w:autoSpaceDN w:val="0"/>
              <w:adjustRightInd w:val="0"/>
              <w:spacing w:line="336" w:lineRule="auto"/>
              <w:jc w:val="center"/>
              <w:rPr>
                <w:rFonts w:ascii="宋体" w:eastAsia="宋体" w:hAnsi="宋体" w:cs="宋体"/>
                <w:sz w:val="24"/>
              </w:rPr>
            </w:pPr>
          </w:p>
        </w:tc>
        <w:tc>
          <w:tcPr>
            <w:tcW w:w="1123" w:type="dxa"/>
            <w:vMerge/>
            <w:vAlign w:val="center"/>
          </w:tcPr>
          <w:p w:rsidR="00CE74C0" w:rsidRDefault="00CE74C0">
            <w:pPr>
              <w:kinsoku w:val="0"/>
              <w:overflowPunct w:val="0"/>
              <w:autoSpaceDE w:val="0"/>
              <w:autoSpaceDN w:val="0"/>
              <w:adjustRightInd w:val="0"/>
              <w:spacing w:line="336" w:lineRule="auto"/>
              <w:jc w:val="center"/>
              <w:rPr>
                <w:rFonts w:ascii="宋体" w:eastAsia="宋体" w:hAnsi="宋体" w:cs="宋体"/>
                <w:sz w:val="24"/>
              </w:rPr>
            </w:pPr>
          </w:p>
        </w:tc>
        <w:tc>
          <w:tcPr>
            <w:tcW w:w="1165" w:type="dxa"/>
            <w:vAlign w:val="center"/>
          </w:tcPr>
          <w:p w:rsidR="00CE74C0" w:rsidRDefault="00835372">
            <w:pPr>
              <w:kinsoku w:val="0"/>
              <w:overflowPunct w:val="0"/>
              <w:autoSpaceDE w:val="0"/>
              <w:autoSpaceDN w:val="0"/>
              <w:adjustRightInd w:val="0"/>
              <w:spacing w:line="336" w:lineRule="auto"/>
              <w:jc w:val="center"/>
              <w:rPr>
                <w:rFonts w:ascii="宋体" w:eastAsia="宋体" w:hAnsi="宋体" w:cs="宋体"/>
                <w:sz w:val="24"/>
              </w:rPr>
            </w:pPr>
            <w:r>
              <w:rPr>
                <w:rFonts w:ascii="宋体" w:eastAsia="宋体" w:hAnsi="宋体" w:cs="宋体" w:hint="eastAsia"/>
                <w:sz w:val="24"/>
              </w:rPr>
              <w:t>资质条件</w:t>
            </w:r>
          </w:p>
          <w:p w:rsidR="00CE74C0" w:rsidRDefault="00835372">
            <w:pPr>
              <w:kinsoku w:val="0"/>
              <w:overflowPunct w:val="0"/>
              <w:autoSpaceDE w:val="0"/>
              <w:autoSpaceDN w:val="0"/>
              <w:adjustRightInd w:val="0"/>
              <w:spacing w:line="336" w:lineRule="auto"/>
              <w:jc w:val="center"/>
              <w:rPr>
                <w:rFonts w:ascii="宋体" w:eastAsia="宋体" w:hAnsi="宋体" w:cs="宋体"/>
                <w:sz w:val="24"/>
              </w:rPr>
            </w:pPr>
            <w:r>
              <w:rPr>
                <w:rFonts w:ascii="宋体" w:eastAsia="宋体" w:hAnsi="宋体" w:cs="宋体" w:hint="eastAsia"/>
                <w:sz w:val="24"/>
              </w:rPr>
              <w:t>（3分）</w:t>
            </w:r>
          </w:p>
        </w:tc>
        <w:tc>
          <w:tcPr>
            <w:tcW w:w="7208" w:type="dxa"/>
            <w:vAlign w:val="center"/>
          </w:tcPr>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报价人无法满足以下要求的，该部分得0分：</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（1）具备中国证监会、国家行业主管部门规定的开展证券期货相关业务所需的执业资格和条件；</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（2）有固定的工作场所、健全的组织机构和完善的内部管理与控制制度；</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（3）熟悉国家有关财务会计方面的法律、法规、规章和政策，具有上市公司年报审计的经验；</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（4）近三年内，未因执业行为受到行政处罚；拟派驻人员中不得具有相关法律法规规定的不得或不宜担任审计机构从业人员的情形；</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（5）能认真执行有关财务审计的法律、法规、规章和政策规定，具有良好的社会声誉和执业质量记录。</w:t>
            </w:r>
          </w:p>
        </w:tc>
      </w:tr>
      <w:tr w:rsidR="00CE74C0">
        <w:trPr>
          <w:trHeight w:val="4355"/>
          <w:jc w:val="center"/>
        </w:trPr>
        <w:tc>
          <w:tcPr>
            <w:tcW w:w="900" w:type="dxa"/>
            <w:vMerge/>
            <w:vAlign w:val="center"/>
          </w:tcPr>
          <w:p w:rsidR="00CE74C0" w:rsidRDefault="00CE74C0">
            <w:pPr>
              <w:kinsoku w:val="0"/>
              <w:overflowPunct w:val="0"/>
              <w:autoSpaceDE w:val="0"/>
              <w:autoSpaceDN w:val="0"/>
              <w:adjustRightInd w:val="0"/>
              <w:spacing w:line="336" w:lineRule="auto"/>
              <w:jc w:val="center"/>
              <w:rPr>
                <w:rFonts w:ascii="宋体" w:eastAsia="宋体" w:hAnsi="宋体" w:cs="宋体"/>
                <w:sz w:val="24"/>
              </w:rPr>
            </w:pPr>
          </w:p>
        </w:tc>
        <w:tc>
          <w:tcPr>
            <w:tcW w:w="1123" w:type="dxa"/>
            <w:vMerge/>
            <w:vAlign w:val="center"/>
          </w:tcPr>
          <w:p w:rsidR="00CE74C0" w:rsidRDefault="00CE74C0">
            <w:pPr>
              <w:kinsoku w:val="0"/>
              <w:overflowPunct w:val="0"/>
              <w:autoSpaceDE w:val="0"/>
              <w:autoSpaceDN w:val="0"/>
              <w:adjustRightInd w:val="0"/>
              <w:spacing w:line="336" w:lineRule="auto"/>
              <w:jc w:val="center"/>
              <w:rPr>
                <w:rFonts w:ascii="宋体" w:eastAsia="宋体" w:hAnsi="宋体" w:cs="宋体"/>
                <w:sz w:val="24"/>
              </w:rPr>
            </w:pPr>
          </w:p>
        </w:tc>
        <w:tc>
          <w:tcPr>
            <w:tcW w:w="1165" w:type="dxa"/>
            <w:vAlign w:val="center"/>
          </w:tcPr>
          <w:p w:rsidR="00CE74C0" w:rsidRDefault="00835372">
            <w:pPr>
              <w:kinsoku w:val="0"/>
              <w:overflowPunct w:val="0"/>
              <w:autoSpaceDE w:val="0"/>
              <w:autoSpaceDN w:val="0"/>
              <w:adjustRightInd w:val="0"/>
              <w:spacing w:line="336" w:lineRule="auto"/>
              <w:jc w:val="center"/>
              <w:rPr>
                <w:rFonts w:ascii="宋体" w:eastAsia="宋体" w:hAnsi="宋体" w:cs="宋体"/>
                <w:sz w:val="24"/>
              </w:rPr>
            </w:pPr>
            <w:r>
              <w:rPr>
                <w:rFonts w:ascii="宋体" w:eastAsia="宋体" w:hAnsi="宋体" w:cs="宋体" w:hint="eastAsia"/>
                <w:sz w:val="24"/>
              </w:rPr>
              <w:t>人力及其他资源配备</w:t>
            </w:r>
          </w:p>
          <w:p w:rsidR="00CE74C0" w:rsidRDefault="00835372">
            <w:pPr>
              <w:kinsoku w:val="0"/>
              <w:overflowPunct w:val="0"/>
              <w:autoSpaceDE w:val="0"/>
              <w:autoSpaceDN w:val="0"/>
              <w:adjustRightInd w:val="0"/>
              <w:spacing w:line="336" w:lineRule="auto"/>
              <w:jc w:val="center"/>
              <w:rPr>
                <w:rFonts w:ascii="宋体" w:eastAsia="宋体" w:hAnsi="宋体" w:cs="宋体"/>
                <w:sz w:val="24"/>
              </w:rPr>
            </w:pPr>
            <w:r>
              <w:rPr>
                <w:rFonts w:ascii="宋体" w:eastAsia="宋体" w:hAnsi="宋体" w:cs="宋体" w:hint="eastAsia"/>
                <w:sz w:val="24"/>
              </w:rPr>
              <w:t>（12分）</w:t>
            </w:r>
          </w:p>
          <w:p w:rsidR="00CE74C0" w:rsidRDefault="00CE74C0">
            <w:pPr>
              <w:autoSpaceDE w:val="0"/>
              <w:autoSpaceDN w:val="0"/>
              <w:adjustRightInd w:val="0"/>
              <w:spacing w:line="336" w:lineRule="auto"/>
              <w:ind w:left="2940" w:firstLineChars="200" w:firstLine="480"/>
              <w:jc w:val="center"/>
              <w:rPr>
                <w:rFonts w:ascii="宋体" w:eastAsia="宋体" w:hAnsi="宋体" w:cs="宋体"/>
                <w:sz w:val="24"/>
                <w:highlight w:val="yellow"/>
              </w:rPr>
            </w:pPr>
          </w:p>
        </w:tc>
        <w:tc>
          <w:tcPr>
            <w:tcW w:w="7208" w:type="dxa"/>
            <w:vAlign w:val="center"/>
          </w:tcPr>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一档（0.1-4分）：项目签字合伙人及签字注册会计师具备一定的沟通能力，项目签字合伙人有5年及以上从业经验，近3年有为上市公司提供审计服务的项目经验；签字注册会计师3年及以上从业经验。</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二档（4.1-8分）：项目签字合伙人及签字注册会计师具备良好的沟通能力，项目签字合伙人有8年及以上从业经验，近3年有为上市公司提供审计服务的项目经验；签字注册会计师4年及以上从业经验。</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highlight w:val="yellow"/>
              </w:rPr>
            </w:pPr>
            <w:r>
              <w:rPr>
                <w:rFonts w:ascii="宋体" w:eastAsia="宋体" w:hAnsi="宋体" w:cs="宋体" w:hint="eastAsia"/>
                <w:spacing w:val="-2"/>
                <w:sz w:val="24"/>
              </w:rPr>
              <w:t>三档（8.1-12分）：项目签字合伙人及签字注册会计师具备优秀的沟通能力，项目签字合伙人有15年及以上从业经验，近3年有为上市公司提供审计服务的项目经验；签字注册会计师具备5年及以上从业经验。</w:t>
            </w:r>
          </w:p>
        </w:tc>
      </w:tr>
      <w:tr w:rsidR="00CE74C0">
        <w:trPr>
          <w:trHeight w:val="3891"/>
          <w:jc w:val="center"/>
        </w:trPr>
        <w:tc>
          <w:tcPr>
            <w:tcW w:w="900" w:type="dxa"/>
            <w:vMerge w:val="restart"/>
            <w:vAlign w:val="center"/>
          </w:tcPr>
          <w:p w:rsidR="00CE74C0" w:rsidRDefault="00835372">
            <w:pPr>
              <w:kinsoku w:val="0"/>
              <w:overflowPunct w:val="0"/>
              <w:autoSpaceDE w:val="0"/>
              <w:autoSpaceDN w:val="0"/>
              <w:adjustRightInd w:val="0"/>
              <w:spacing w:line="336" w:lineRule="auto"/>
              <w:jc w:val="center"/>
              <w:rPr>
                <w:rFonts w:ascii="宋体" w:eastAsia="宋体" w:hAnsi="宋体" w:cs="宋体"/>
                <w:sz w:val="24"/>
              </w:rPr>
            </w:pPr>
            <w:r>
              <w:rPr>
                <w:rFonts w:ascii="宋体" w:eastAsia="宋体" w:hAnsi="宋体" w:cs="宋体" w:hint="eastAsia"/>
                <w:sz w:val="24"/>
              </w:rPr>
              <w:lastRenderedPageBreak/>
              <w:t>3.2</w:t>
            </w:r>
          </w:p>
          <w:p w:rsidR="00CE74C0" w:rsidRDefault="00835372">
            <w:pPr>
              <w:kinsoku w:val="0"/>
              <w:overflowPunct w:val="0"/>
              <w:autoSpaceDE w:val="0"/>
              <w:autoSpaceDN w:val="0"/>
              <w:adjustRightInd w:val="0"/>
              <w:spacing w:line="336" w:lineRule="auto"/>
              <w:jc w:val="center"/>
              <w:rPr>
                <w:rFonts w:ascii="宋体" w:eastAsia="宋体" w:hAnsi="宋体" w:cs="宋体"/>
                <w:sz w:val="24"/>
              </w:rPr>
            </w:pPr>
            <w:r>
              <w:rPr>
                <w:rFonts w:ascii="宋体" w:eastAsia="宋体" w:hAnsi="宋体" w:cs="宋体" w:hint="eastAsia"/>
                <w:sz w:val="24"/>
              </w:rPr>
              <w:t>（2）</w:t>
            </w:r>
          </w:p>
        </w:tc>
        <w:tc>
          <w:tcPr>
            <w:tcW w:w="1123" w:type="dxa"/>
            <w:vMerge w:val="restart"/>
            <w:vAlign w:val="center"/>
          </w:tcPr>
          <w:p w:rsidR="00CE74C0" w:rsidRDefault="00835372">
            <w:pPr>
              <w:autoSpaceDE w:val="0"/>
              <w:autoSpaceDN w:val="0"/>
              <w:adjustRightInd w:val="0"/>
              <w:spacing w:line="336" w:lineRule="auto"/>
              <w:jc w:val="center"/>
              <w:rPr>
                <w:rFonts w:ascii="宋体" w:eastAsia="宋体" w:hAnsi="宋体" w:cs="宋体"/>
                <w:kern w:val="0"/>
                <w:sz w:val="24"/>
              </w:rPr>
            </w:pPr>
            <w:r>
              <w:rPr>
                <w:rFonts w:ascii="宋体" w:eastAsia="宋体" w:hAnsi="宋体" w:cs="宋体" w:hint="eastAsia"/>
                <w:kern w:val="0"/>
                <w:sz w:val="24"/>
              </w:rPr>
              <w:t>技术评审标准（60分）</w:t>
            </w:r>
          </w:p>
        </w:tc>
        <w:tc>
          <w:tcPr>
            <w:tcW w:w="1165" w:type="dxa"/>
            <w:vAlign w:val="center"/>
          </w:tcPr>
          <w:p w:rsidR="00CE74C0" w:rsidRDefault="00835372">
            <w:pPr>
              <w:kinsoku w:val="0"/>
              <w:overflowPunct w:val="0"/>
              <w:autoSpaceDE w:val="0"/>
              <w:autoSpaceDN w:val="0"/>
              <w:adjustRightInd w:val="0"/>
              <w:spacing w:line="336" w:lineRule="auto"/>
              <w:jc w:val="center"/>
              <w:rPr>
                <w:rFonts w:ascii="宋体" w:eastAsia="宋体" w:hAnsi="宋体" w:cs="宋体"/>
                <w:sz w:val="24"/>
              </w:rPr>
            </w:pPr>
            <w:r>
              <w:rPr>
                <w:rFonts w:ascii="宋体" w:eastAsia="宋体" w:hAnsi="宋体" w:cs="宋体" w:hint="eastAsia"/>
                <w:sz w:val="24"/>
              </w:rPr>
              <w:t>工作方案</w:t>
            </w:r>
          </w:p>
          <w:p w:rsidR="00CE74C0" w:rsidRDefault="00835372">
            <w:pPr>
              <w:kinsoku w:val="0"/>
              <w:overflowPunct w:val="0"/>
              <w:autoSpaceDE w:val="0"/>
              <w:autoSpaceDN w:val="0"/>
              <w:adjustRightInd w:val="0"/>
              <w:spacing w:line="336" w:lineRule="auto"/>
              <w:jc w:val="center"/>
              <w:rPr>
                <w:rFonts w:ascii="宋体" w:eastAsia="宋体" w:hAnsi="宋体" w:cs="宋体"/>
                <w:sz w:val="24"/>
              </w:rPr>
            </w:pPr>
            <w:r>
              <w:rPr>
                <w:rFonts w:ascii="宋体" w:eastAsia="宋体" w:hAnsi="宋体" w:cs="宋体" w:hint="eastAsia"/>
                <w:sz w:val="24"/>
              </w:rPr>
              <w:t>（12分）</w:t>
            </w:r>
          </w:p>
        </w:tc>
        <w:tc>
          <w:tcPr>
            <w:tcW w:w="7208" w:type="dxa"/>
            <w:vAlign w:val="center"/>
          </w:tcPr>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针对本项目特点制定审计策略和审计实施方案，包含但不限于审计目标、审计工作范围、审计程序和方法、审计重点和难点、具备同行业相关审计经验等。</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一档（0.1-4分）：方案充分涵盖以上内容，对业务理解较浅，实施计划合理性一般，资源投入有所欠缺，对项目针对性一般；</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二档（4.1-8分）：方案充分涵盖以上内容，对业务理解较为到位，实施计划合理，资源投入较为充分，对项目针对性较强；</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三档（8.1-12分）：方案充分涵盖以上内容，对业务理解全面透彻，实施计划明确具体，资源投入充分，对项目针对性强。</w:t>
            </w:r>
          </w:p>
        </w:tc>
      </w:tr>
      <w:tr w:rsidR="00CE74C0">
        <w:trPr>
          <w:trHeight w:val="2472"/>
          <w:jc w:val="center"/>
        </w:trPr>
        <w:tc>
          <w:tcPr>
            <w:tcW w:w="900" w:type="dxa"/>
            <w:vMerge/>
            <w:vAlign w:val="center"/>
          </w:tcPr>
          <w:p w:rsidR="00CE74C0" w:rsidRDefault="00CE74C0">
            <w:pPr>
              <w:kinsoku w:val="0"/>
              <w:overflowPunct w:val="0"/>
              <w:autoSpaceDE w:val="0"/>
              <w:autoSpaceDN w:val="0"/>
              <w:adjustRightInd w:val="0"/>
              <w:spacing w:line="336" w:lineRule="auto"/>
              <w:jc w:val="center"/>
              <w:rPr>
                <w:rFonts w:ascii="宋体" w:eastAsia="宋体" w:hAnsi="宋体" w:cs="宋体"/>
                <w:sz w:val="24"/>
              </w:rPr>
            </w:pPr>
          </w:p>
        </w:tc>
        <w:tc>
          <w:tcPr>
            <w:tcW w:w="1123" w:type="dxa"/>
            <w:vMerge/>
            <w:vAlign w:val="center"/>
          </w:tcPr>
          <w:p w:rsidR="00CE74C0" w:rsidRDefault="00CE74C0">
            <w:pPr>
              <w:autoSpaceDE w:val="0"/>
              <w:autoSpaceDN w:val="0"/>
              <w:adjustRightInd w:val="0"/>
              <w:spacing w:line="336" w:lineRule="auto"/>
              <w:jc w:val="center"/>
              <w:rPr>
                <w:rFonts w:ascii="宋体" w:eastAsia="宋体" w:hAnsi="宋体" w:cs="宋体"/>
                <w:kern w:val="0"/>
                <w:sz w:val="24"/>
              </w:rPr>
            </w:pPr>
          </w:p>
        </w:tc>
        <w:tc>
          <w:tcPr>
            <w:tcW w:w="1165" w:type="dxa"/>
            <w:vMerge w:val="restart"/>
            <w:vAlign w:val="center"/>
          </w:tcPr>
          <w:p w:rsidR="00CE74C0" w:rsidRDefault="00835372">
            <w:pPr>
              <w:kinsoku w:val="0"/>
              <w:overflowPunct w:val="0"/>
              <w:autoSpaceDE w:val="0"/>
              <w:autoSpaceDN w:val="0"/>
              <w:adjustRightInd w:val="0"/>
              <w:spacing w:line="336" w:lineRule="auto"/>
              <w:jc w:val="center"/>
              <w:rPr>
                <w:rFonts w:ascii="宋体" w:eastAsia="宋体" w:hAnsi="宋体" w:cs="宋体"/>
                <w:sz w:val="24"/>
              </w:rPr>
            </w:pPr>
            <w:r>
              <w:rPr>
                <w:rFonts w:ascii="宋体" w:eastAsia="宋体" w:hAnsi="宋体" w:cs="宋体" w:hint="eastAsia"/>
                <w:sz w:val="24"/>
              </w:rPr>
              <w:t>质量管理水平</w:t>
            </w:r>
          </w:p>
          <w:p w:rsidR="00CE74C0" w:rsidRDefault="00835372">
            <w:pPr>
              <w:kinsoku w:val="0"/>
              <w:overflowPunct w:val="0"/>
              <w:autoSpaceDE w:val="0"/>
              <w:autoSpaceDN w:val="0"/>
              <w:adjustRightInd w:val="0"/>
              <w:spacing w:line="336" w:lineRule="auto"/>
              <w:jc w:val="center"/>
              <w:rPr>
                <w:rFonts w:ascii="宋体" w:eastAsia="宋体" w:hAnsi="宋体" w:cs="宋体"/>
                <w:sz w:val="24"/>
              </w:rPr>
            </w:pPr>
            <w:r>
              <w:rPr>
                <w:rFonts w:ascii="宋体" w:eastAsia="宋体" w:hAnsi="宋体" w:cs="宋体" w:hint="eastAsia"/>
                <w:sz w:val="24"/>
              </w:rPr>
              <w:t>（40分）</w:t>
            </w:r>
          </w:p>
        </w:tc>
        <w:tc>
          <w:tcPr>
            <w:tcW w:w="7208" w:type="dxa"/>
            <w:tcBorders>
              <w:bottom w:val="single" w:sz="4" w:space="0" w:color="auto"/>
            </w:tcBorders>
            <w:vAlign w:val="center"/>
          </w:tcPr>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（1）项目咨询（8分）</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根据项目咨询质量控制制度健全程度及实施情况进行横向对比。</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一档（0.1-3分）：质量控制制度、控制方案及实施情况较差；</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二档（3.1-5分）：质量控制制度、控制方案及实施情况一般；</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三档（5.1-8分）：质量控制制度、控制方案及实施情况良好。</w:t>
            </w:r>
          </w:p>
        </w:tc>
      </w:tr>
      <w:tr w:rsidR="00CE74C0">
        <w:trPr>
          <w:trHeight w:val="2940"/>
          <w:jc w:val="center"/>
        </w:trPr>
        <w:tc>
          <w:tcPr>
            <w:tcW w:w="900" w:type="dxa"/>
            <w:vMerge/>
            <w:vAlign w:val="center"/>
          </w:tcPr>
          <w:p w:rsidR="00CE74C0" w:rsidRDefault="00CE74C0">
            <w:pPr>
              <w:kinsoku w:val="0"/>
              <w:overflowPunct w:val="0"/>
              <w:autoSpaceDE w:val="0"/>
              <w:autoSpaceDN w:val="0"/>
              <w:adjustRightInd w:val="0"/>
              <w:spacing w:line="336" w:lineRule="auto"/>
              <w:jc w:val="center"/>
              <w:rPr>
                <w:rFonts w:ascii="宋体" w:eastAsia="宋体" w:hAnsi="宋体" w:cs="宋体"/>
                <w:sz w:val="24"/>
              </w:rPr>
            </w:pPr>
          </w:p>
        </w:tc>
        <w:tc>
          <w:tcPr>
            <w:tcW w:w="1123" w:type="dxa"/>
            <w:vMerge/>
            <w:vAlign w:val="center"/>
          </w:tcPr>
          <w:p w:rsidR="00CE74C0" w:rsidRDefault="00CE74C0">
            <w:pPr>
              <w:autoSpaceDE w:val="0"/>
              <w:autoSpaceDN w:val="0"/>
              <w:adjustRightInd w:val="0"/>
              <w:spacing w:line="336" w:lineRule="auto"/>
              <w:jc w:val="center"/>
              <w:rPr>
                <w:rFonts w:ascii="宋体" w:eastAsia="宋体" w:hAnsi="宋体" w:cs="宋体"/>
                <w:kern w:val="0"/>
                <w:sz w:val="24"/>
              </w:rPr>
            </w:pPr>
          </w:p>
        </w:tc>
        <w:tc>
          <w:tcPr>
            <w:tcW w:w="1165" w:type="dxa"/>
            <w:vMerge/>
            <w:vAlign w:val="center"/>
          </w:tcPr>
          <w:p w:rsidR="00CE74C0" w:rsidRDefault="00CE74C0">
            <w:pPr>
              <w:kinsoku w:val="0"/>
              <w:overflowPunct w:val="0"/>
              <w:autoSpaceDE w:val="0"/>
              <w:autoSpaceDN w:val="0"/>
              <w:adjustRightInd w:val="0"/>
              <w:spacing w:line="336" w:lineRule="auto"/>
              <w:jc w:val="center"/>
              <w:rPr>
                <w:rFonts w:ascii="宋体" w:eastAsia="宋体" w:hAnsi="宋体" w:cs="宋体"/>
                <w:sz w:val="24"/>
              </w:rPr>
            </w:pPr>
          </w:p>
        </w:tc>
        <w:tc>
          <w:tcPr>
            <w:tcW w:w="7208" w:type="dxa"/>
            <w:tcBorders>
              <w:top w:val="single" w:sz="4" w:space="0" w:color="auto"/>
              <w:bottom w:val="single" w:sz="4" w:space="0" w:color="auto"/>
            </w:tcBorders>
            <w:vAlign w:val="center"/>
          </w:tcPr>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（2）意见分歧解决（8分）</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根据意见分歧解决制度健全程度及实施情况进行横向对比。</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一档（0.1-3分）：质量控制制度、控制方案及实施情况较差；</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二档（3.1-5分）：质量控制制度、控制方案及实施情况一般；</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三档（5.1-8分）：质量控制制度、控制方案及实施情况良好。</w:t>
            </w:r>
          </w:p>
        </w:tc>
      </w:tr>
      <w:tr w:rsidR="00CE74C0">
        <w:trPr>
          <w:trHeight w:val="2132"/>
          <w:jc w:val="center"/>
        </w:trPr>
        <w:tc>
          <w:tcPr>
            <w:tcW w:w="900" w:type="dxa"/>
            <w:vMerge/>
            <w:vAlign w:val="center"/>
          </w:tcPr>
          <w:p w:rsidR="00CE74C0" w:rsidRDefault="00CE74C0">
            <w:pPr>
              <w:kinsoku w:val="0"/>
              <w:overflowPunct w:val="0"/>
              <w:autoSpaceDE w:val="0"/>
              <w:autoSpaceDN w:val="0"/>
              <w:adjustRightInd w:val="0"/>
              <w:spacing w:line="336" w:lineRule="auto"/>
              <w:jc w:val="center"/>
              <w:rPr>
                <w:rFonts w:ascii="宋体" w:eastAsia="宋体" w:hAnsi="宋体" w:cs="宋体"/>
                <w:sz w:val="24"/>
              </w:rPr>
            </w:pPr>
          </w:p>
        </w:tc>
        <w:tc>
          <w:tcPr>
            <w:tcW w:w="1123" w:type="dxa"/>
            <w:vMerge/>
            <w:vAlign w:val="center"/>
          </w:tcPr>
          <w:p w:rsidR="00CE74C0" w:rsidRDefault="00CE74C0">
            <w:pPr>
              <w:autoSpaceDE w:val="0"/>
              <w:autoSpaceDN w:val="0"/>
              <w:adjustRightInd w:val="0"/>
              <w:spacing w:line="336" w:lineRule="auto"/>
              <w:jc w:val="center"/>
              <w:rPr>
                <w:rFonts w:ascii="宋体" w:eastAsia="宋体" w:hAnsi="宋体" w:cs="宋体"/>
                <w:kern w:val="0"/>
                <w:sz w:val="24"/>
              </w:rPr>
            </w:pPr>
          </w:p>
        </w:tc>
        <w:tc>
          <w:tcPr>
            <w:tcW w:w="1165" w:type="dxa"/>
            <w:vMerge/>
            <w:vAlign w:val="center"/>
          </w:tcPr>
          <w:p w:rsidR="00CE74C0" w:rsidRDefault="00CE74C0">
            <w:pPr>
              <w:kinsoku w:val="0"/>
              <w:overflowPunct w:val="0"/>
              <w:autoSpaceDE w:val="0"/>
              <w:autoSpaceDN w:val="0"/>
              <w:adjustRightInd w:val="0"/>
              <w:spacing w:line="336" w:lineRule="auto"/>
              <w:jc w:val="center"/>
              <w:rPr>
                <w:rFonts w:ascii="宋体" w:eastAsia="宋体" w:hAnsi="宋体" w:cs="宋体"/>
                <w:sz w:val="24"/>
              </w:rPr>
            </w:pPr>
          </w:p>
        </w:tc>
        <w:tc>
          <w:tcPr>
            <w:tcW w:w="7208" w:type="dxa"/>
            <w:tcBorders>
              <w:top w:val="single" w:sz="4" w:space="0" w:color="auto"/>
              <w:bottom w:val="single" w:sz="4" w:space="0" w:color="auto"/>
            </w:tcBorders>
            <w:vAlign w:val="center"/>
          </w:tcPr>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（3）项目质量复核（8分）</w:t>
            </w:r>
          </w:p>
          <w:p w:rsidR="00CE74C0" w:rsidRDefault="00835372">
            <w:pPr>
              <w:tabs>
                <w:tab w:val="left" w:pos="1889"/>
                <w:tab w:val="left" w:pos="2309"/>
              </w:tabs>
              <w:kinsoku w:val="0"/>
              <w:overflowPunct w:val="0"/>
              <w:autoSpaceDE w:val="0"/>
              <w:autoSpaceDN w:val="0"/>
              <w:adjustRightInd w:val="0"/>
              <w:spacing w:line="336" w:lineRule="auto"/>
              <w:ind w:firstLineChars="200" w:firstLine="480"/>
              <w:rPr>
                <w:rFonts w:ascii="宋体" w:eastAsia="宋体" w:hAnsi="宋体" w:cs="宋体"/>
                <w:spacing w:val="-2"/>
                <w:sz w:val="24"/>
              </w:rPr>
            </w:pPr>
            <w:r>
              <w:rPr>
                <w:rFonts w:ascii="宋体" w:eastAsia="宋体" w:hAnsi="宋体" w:cs="宋体" w:hint="eastAsia"/>
                <w:sz w:val="24"/>
              </w:rPr>
              <w:t>根据项目质量复核制度健全程度及实施情况进行横向对比。</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一档（0.1-3分）：质量控制制度、控制方案及实施情况较差；</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二档（3.1-5分）：质量控制制度、控制方案及实施情况一般；</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三档（5.1-8分）：质量控制制度、控制方案及实施情况良好。</w:t>
            </w:r>
          </w:p>
        </w:tc>
      </w:tr>
      <w:tr w:rsidR="00CE74C0">
        <w:trPr>
          <w:trHeight w:val="2088"/>
          <w:jc w:val="center"/>
        </w:trPr>
        <w:tc>
          <w:tcPr>
            <w:tcW w:w="900" w:type="dxa"/>
            <w:vMerge/>
            <w:vAlign w:val="center"/>
          </w:tcPr>
          <w:p w:rsidR="00CE74C0" w:rsidRDefault="00CE74C0">
            <w:pPr>
              <w:kinsoku w:val="0"/>
              <w:overflowPunct w:val="0"/>
              <w:autoSpaceDE w:val="0"/>
              <w:autoSpaceDN w:val="0"/>
              <w:adjustRightInd w:val="0"/>
              <w:spacing w:line="336" w:lineRule="auto"/>
              <w:jc w:val="center"/>
              <w:rPr>
                <w:rFonts w:ascii="宋体" w:eastAsia="宋体" w:hAnsi="宋体" w:cs="宋体"/>
                <w:sz w:val="24"/>
              </w:rPr>
            </w:pPr>
          </w:p>
        </w:tc>
        <w:tc>
          <w:tcPr>
            <w:tcW w:w="1123" w:type="dxa"/>
            <w:vMerge/>
            <w:vAlign w:val="center"/>
          </w:tcPr>
          <w:p w:rsidR="00CE74C0" w:rsidRDefault="00CE74C0">
            <w:pPr>
              <w:autoSpaceDE w:val="0"/>
              <w:autoSpaceDN w:val="0"/>
              <w:adjustRightInd w:val="0"/>
              <w:spacing w:line="336" w:lineRule="auto"/>
              <w:jc w:val="center"/>
              <w:rPr>
                <w:rFonts w:ascii="宋体" w:eastAsia="宋体" w:hAnsi="宋体" w:cs="宋体"/>
                <w:kern w:val="0"/>
                <w:sz w:val="24"/>
              </w:rPr>
            </w:pPr>
          </w:p>
        </w:tc>
        <w:tc>
          <w:tcPr>
            <w:tcW w:w="1165" w:type="dxa"/>
            <w:vMerge/>
            <w:vAlign w:val="center"/>
          </w:tcPr>
          <w:p w:rsidR="00CE74C0" w:rsidRDefault="00CE74C0">
            <w:pPr>
              <w:kinsoku w:val="0"/>
              <w:overflowPunct w:val="0"/>
              <w:autoSpaceDE w:val="0"/>
              <w:autoSpaceDN w:val="0"/>
              <w:adjustRightInd w:val="0"/>
              <w:spacing w:line="336" w:lineRule="auto"/>
              <w:jc w:val="center"/>
              <w:rPr>
                <w:rFonts w:ascii="宋体" w:eastAsia="宋体" w:hAnsi="宋体" w:cs="宋体"/>
                <w:sz w:val="24"/>
              </w:rPr>
            </w:pPr>
          </w:p>
        </w:tc>
        <w:tc>
          <w:tcPr>
            <w:tcW w:w="7208" w:type="dxa"/>
            <w:tcBorders>
              <w:top w:val="single" w:sz="4" w:space="0" w:color="auto"/>
              <w:bottom w:val="single" w:sz="4" w:space="0" w:color="auto"/>
            </w:tcBorders>
            <w:vAlign w:val="center"/>
          </w:tcPr>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（4）项目质量检查（8分）</w:t>
            </w:r>
          </w:p>
          <w:p w:rsidR="00CE74C0" w:rsidRDefault="00835372">
            <w:pPr>
              <w:tabs>
                <w:tab w:val="left" w:pos="1889"/>
                <w:tab w:val="left" w:pos="2309"/>
              </w:tabs>
              <w:kinsoku w:val="0"/>
              <w:overflowPunct w:val="0"/>
              <w:autoSpaceDE w:val="0"/>
              <w:autoSpaceDN w:val="0"/>
              <w:adjustRightInd w:val="0"/>
              <w:spacing w:line="336" w:lineRule="auto"/>
              <w:ind w:firstLineChars="200" w:firstLine="480"/>
              <w:rPr>
                <w:rFonts w:ascii="宋体" w:eastAsia="宋体" w:hAnsi="宋体" w:cs="宋体"/>
                <w:sz w:val="24"/>
              </w:rPr>
            </w:pPr>
            <w:r>
              <w:rPr>
                <w:rFonts w:ascii="宋体" w:eastAsia="宋体" w:hAnsi="宋体" w:cs="宋体" w:hint="eastAsia"/>
                <w:sz w:val="24"/>
              </w:rPr>
              <w:t>根据项目质量检查制度健全程度及实施情况进行横向对比。</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一档（0.1-3分）：质量控制制度、控制方案及实施情况较差；</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二档（3.1-5分）：质量控制制度、控制方案及实施情况一般；</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三档（5.1-8分）：质量控制制度、控制方案及实施情况良好。</w:t>
            </w:r>
          </w:p>
        </w:tc>
      </w:tr>
      <w:tr w:rsidR="00CE74C0">
        <w:trPr>
          <w:trHeight w:val="2392"/>
          <w:jc w:val="center"/>
        </w:trPr>
        <w:tc>
          <w:tcPr>
            <w:tcW w:w="900" w:type="dxa"/>
            <w:vMerge/>
            <w:vAlign w:val="center"/>
          </w:tcPr>
          <w:p w:rsidR="00CE74C0" w:rsidRDefault="00CE74C0">
            <w:pPr>
              <w:kinsoku w:val="0"/>
              <w:overflowPunct w:val="0"/>
              <w:autoSpaceDE w:val="0"/>
              <w:autoSpaceDN w:val="0"/>
              <w:adjustRightInd w:val="0"/>
              <w:spacing w:line="336" w:lineRule="auto"/>
              <w:jc w:val="center"/>
              <w:rPr>
                <w:rFonts w:ascii="宋体" w:eastAsia="宋体" w:hAnsi="宋体" w:cs="宋体"/>
                <w:sz w:val="24"/>
              </w:rPr>
            </w:pPr>
          </w:p>
        </w:tc>
        <w:tc>
          <w:tcPr>
            <w:tcW w:w="1123" w:type="dxa"/>
            <w:vMerge/>
            <w:vAlign w:val="center"/>
          </w:tcPr>
          <w:p w:rsidR="00CE74C0" w:rsidRDefault="00CE74C0">
            <w:pPr>
              <w:autoSpaceDE w:val="0"/>
              <w:autoSpaceDN w:val="0"/>
              <w:adjustRightInd w:val="0"/>
              <w:spacing w:line="336" w:lineRule="auto"/>
              <w:jc w:val="center"/>
              <w:rPr>
                <w:rFonts w:ascii="宋体" w:eastAsia="宋体" w:hAnsi="宋体" w:cs="宋体"/>
                <w:kern w:val="0"/>
                <w:sz w:val="24"/>
              </w:rPr>
            </w:pPr>
          </w:p>
        </w:tc>
        <w:tc>
          <w:tcPr>
            <w:tcW w:w="1165" w:type="dxa"/>
            <w:vMerge/>
            <w:vAlign w:val="center"/>
          </w:tcPr>
          <w:p w:rsidR="00CE74C0" w:rsidRDefault="00CE74C0">
            <w:pPr>
              <w:kinsoku w:val="0"/>
              <w:overflowPunct w:val="0"/>
              <w:autoSpaceDE w:val="0"/>
              <w:autoSpaceDN w:val="0"/>
              <w:adjustRightInd w:val="0"/>
              <w:spacing w:line="336" w:lineRule="auto"/>
              <w:jc w:val="center"/>
              <w:rPr>
                <w:rFonts w:ascii="宋体" w:eastAsia="宋体" w:hAnsi="宋体" w:cs="宋体"/>
                <w:sz w:val="24"/>
              </w:rPr>
            </w:pPr>
          </w:p>
        </w:tc>
        <w:tc>
          <w:tcPr>
            <w:tcW w:w="7208" w:type="dxa"/>
            <w:tcBorders>
              <w:top w:val="single" w:sz="4" w:space="0" w:color="auto"/>
            </w:tcBorders>
            <w:vAlign w:val="center"/>
          </w:tcPr>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（5）质量管理缺陷识别与整改（8分）</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根据质量管理缺陷识别与整改制度健全程度及实施情况进行横向对比。</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一档（0.1-3分）：质量控制制度、控制方案及实施情况较差；</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二档（3.1-5分）：质量控制制度、控制方案及实施情况一般；</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z w:val="24"/>
              </w:rPr>
            </w:pPr>
            <w:r>
              <w:rPr>
                <w:rFonts w:ascii="宋体" w:eastAsia="宋体" w:hAnsi="宋体" w:cs="宋体" w:hint="eastAsia"/>
                <w:spacing w:val="-2"/>
                <w:sz w:val="24"/>
              </w:rPr>
              <w:t>三档（5.1-8分）：质量控制制度、控制方案及实施情况良好。</w:t>
            </w:r>
          </w:p>
        </w:tc>
      </w:tr>
      <w:tr w:rsidR="00CE74C0">
        <w:trPr>
          <w:trHeight w:val="1789"/>
          <w:jc w:val="center"/>
        </w:trPr>
        <w:tc>
          <w:tcPr>
            <w:tcW w:w="900" w:type="dxa"/>
            <w:vMerge/>
            <w:vAlign w:val="center"/>
          </w:tcPr>
          <w:p w:rsidR="00CE74C0" w:rsidRDefault="00CE74C0">
            <w:pPr>
              <w:kinsoku w:val="0"/>
              <w:overflowPunct w:val="0"/>
              <w:autoSpaceDE w:val="0"/>
              <w:autoSpaceDN w:val="0"/>
              <w:adjustRightInd w:val="0"/>
              <w:spacing w:line="336" w:lineRule="auto"/>
              <w:jc w:val="center"/>
              <w:rPr>
                <w:rFonts w:ascii="宋体" w:eastAsia="宋体" w:hAnsi="宋体" w:cs="宋体"/>
                <w:sz w:val="24"/>
              </w:rPr>
            </w:pPr>
          </w:p>
        </w:tc>
        <w:tc>
          <w:tcPr>
            <w:tcW w:w="1123" w:type="dxa"/>
            <w:vMerge/>
            <w:vAlign w:val="center"/>
          </w:tcPr>
          <w:p w:rsidR="00CE74C0" w:rsidRDefault="00CE74C0">
            <w:pPr>
              <w:autoSpaceDE w:val="0"/>
              <w:autoSpaceDN w:val="0"/>
              <w:adjustRightInd w:val="0"/>
              <w:spacing w:line="336" w:lineRule="auto"/>
              <w:jc w:val="center"/>
              <w:rPr>
                <w:rFonts w:ascii="宋体" w:eastAsia="宋体" w:hAnsi="宋体" w:cs="宋体"/>
                <w:kern w:val="0"/>
                <w:sz w:val="24"/>
              </w:rPr>
            </w:pPr>
          </w:p>
        </w:tc>
        <w:tc>
          <w:tcPr>
            <w:tcW w:w="1165" w:type="dxa"/>
            <w:vAlign w:val="center"/>
          </w:tcPr>
          <w:p w:rsidR="00CE74C0" w:rsidRDefault="00835372">
            <w:pPr>
              <w:kinsoku w:val="0"/>
              <w:overflowPunct w:val="0"/>
              <w:autoSpaceDE w:val="0"/>
              <w:autoSpaceDN w:val="0"/>
              <w:adjustRightInd w:val="0"/>
              <w:spacing w:line="336" w:lineRule="auto"/>
              <w:jc w:val="center"/>
              <w:rPr>
                <w:rFonts w:ascii="宋体" w:eastAsia="宋体" w:hAnsi="宋体" w:cs="宋体"/>
                <w:sz w:val="24"/>
              </w:rPr>
            </w:pPr>
            <w:r>
              <w:rPr>
                <w:rFonts w:ascii="宋体" w:eastAsia="宋体" w:hAnsi="宋体" w:cs="宋体" w:hint="eastAsia"/>
                <w:sz w:val="24"/>
              </w:rPr>
              <w:t>信息安全管理</w:t>
            </w:r>
          </w:p>
          <w:p w:rsidR="00CE74C0" w:rsidRDefault="00835372">
            <w:pPr>
              <w:kinsoku w:val="0"/>
              <w:overflowPunct w:val="0"/>
              <w:autoSpaceDE w:val="0"/>
              <w:autoSpaceDN w:val="0"/>
              <w:adjustRightInd w:val="0"/>
              <w:spacing w:line="336" w:lineRule="auto"/>
              <w:jc w:val="center"/>
              <w:rPr>
                <w:rFonts w:ascii="宋体" w:eastAsia="宋体" w:hAnsi="宋体" w:cs="宋体"/>
                <w:sz w:val="24"/>
              </w:rPr>
            </w:pPr>
            <w:r>
              <w:rPr>
                <w:rFonts w:ascii="宋体" w:eastAsia="宋体" w:hAnsi="宋体" w:cs="宋体" w:hint="eastAsia"/>
                <w:sz w:val="24"/>
              </w:rPr>
              <w:t>（4分）</w:t>
            </w:r>
          </w:p>
        </w:tc>
        <w:tc>
          <w:tcPr>
            <w:tcW w:w="7208" w:type="dxa"/>
            <w:vAlign w:val="center"/>
          </w:tcPr>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根据各报价人提供的信息安全管理措施进行评审：</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一档（0.1-2分）：在信息安全工作底稿数据保护方面采取措施较差；</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二档（2.1-3分）：在信息安全工作底稿数据保护方面采取措施良好；</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三档（3.1-4分）：在信息安全工作底稿数据保护方面采取措施完善。</w:t>
            </w:r>
          </w:p>
        </w:tc>
      </w:tr>
      <w:tr w:rsidR="00CE74C0">
        <w:trPr>
          <w:trHeight w:val="3255"/>
          <w:jc w:val="center"/>
        </w:trPr>
        <w:tc>
          <w:tcPr>
            <w:tcW w:w="900" w:type="dxa"/>
            <w:vMerge/>
            <w:vAlign w:val="center"/>
          </w:tcPr>
          <w:p w:rsidR="00CE74C0" w:rsidRDefault="00CE74C0">
            <w:pPr>
              <w:kinsoku w:val="0"/>
              <w:overflowPunct w:val="0"/>
              <w:autoSpaceDE w:val="0"/>
              <w:autoSpaceDN w:val="0"/>
              <w:adjustRightInd w:val="0"/>
              <w:spacing w:line="336" w:lineRule="auto"/>
              <w:jc w:val="center"/>
              <w:rPr>
                <w:rFonts w:ascii="宋体" w:eastAsia="宋体" w:hAnsi="宋体" w:cs="宋体"/>
                <w:sz w:val="24"/>
              </w:rPr>
            </w:pPr>
          </w:p>
        </w:tc>
        <w:tc>
          <w:tcPr>
            <w:tcW w:w="1123" w:type="dxa"/>
            <w:vMerge/>
            <w:vAlign w:val="center"/>
          </w:tcPr>
          <w:p w:rsidR="00CE74C0" w:rsidRDefault="00CE74C0">
            <w:pPr>
              <w:autoSpaceDE w:val="0"/>
              <w:autoSpaceDN w:val="0"/>
              <w:adjustRightInd w:val="0"/>
              <w:spacing w:line="336" w:lineRule="auto"/>
              <w:jc w:val="center"/>
              <w:rPr>
                <w:rFonts w:ascii="宋体" w:eastAsia="宋体" w:hAnsi="宋体" w:cs="宋体"/>
                <w:kern w:val="0"/>
                <w:sz w:val="24"/>
              </w:rPr>
            </w:pPr>
          </w:p>
        </w:tc>
        <w:tc>
          <w:tcPr>
            <w:tcW w:w="1165" w:type="dxa"/>
            <w:vAlign w:val="center"/>
          </w:tcPr>
          <w:p w:rsidR="00CE74C0" w:rsidRDefault="00835372">
            <w:pPr>
              <w:kinsoku w:val="0"/>
              <w:overflowPunct w:val="0"/>
              <w:autoSpaceDE w:val="0"/>
              <w:autoSpaceDN w:val="0"/>
              <w:adjustRightInd w:val="0"/>
              <w:spacing w:line="336" w:lineRule="auto"/>
              <w:jc w:val="center"/>
              <w:rPr>
                <w:rFonts w:ascii="宋体" w:eastAsia="宋体" w:hAnsi="宋体" w:cs="宋体"/>
                <w:sz w:val="24"/>
              </w:rPr>
            </w:pPr>
            <w:r>
              <w:rPr>
                <w:rFonts w:ascii="宋体" w:eastAsia="宋体" w:hAnsi="宋体" w:cs="宋体" w:hint="eastAsia"/>
                <w:sz w:val="24"/>
              </w:rPr>
              <w:t>风险承担能力水平</w:t>
            </w:r>
          </w:p>
          <w:p w:rsidR="00CE74C0" w:rsidRDefault="00835372">
            <w:pPr>
              <w:kinsoku w:val="0"/>
              <w:overflowPunct w:val="0"/>
              <w:autoSpaceDE w:val="0"/>
              <w:autoSpaceDN w:val="0"/>
              <w:adjustRightInd w:val="0"/>
              <w:spacing w:line="336" w:lineRule="auto"/>
              <w:jc w:val="center"/>
              <w:rPr>
                <w:rFonts w:ascii="宋体" w:eastAsia="宋体" w:hAnsi="宋体" w:cs="宋体"/>
                <w:sz w:val="24"/>
              </w:rPr>
            </w:pPr>
            <w:r>
              <w:rPr>
                <w:rFonts w:ascii="宋体" w:eastAsia="宋体" w:hAnsi="宋体" w:cs="宋体" w:hint="eastAsia"/>
                <w:sz w:val="24"/>
              </w:rPr>
              <w:t>（4分）</w:t>
            </w:r>
          </w:p>
        </w:tc>
        <w:tc>
          <w:tcPr>
            <w:tcW w:w="7208" w:type="dxa"/>
            <w:vAlign w:val="center"/>
          </w:tcPr>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根据各报价人提供的最近三年经审计的财务报表及职业责任保险、职业风险基金等制度及实施情况进行风险承担能力水平评审：</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一档（0.1-2分）：</w:t>
            </w:r>
            <w:r>
              <w:rPr>
                <w:rFonts w:ascii="宋体" w:eastAsia="宋体" w:hAnsi="宋体" w:cs="宋体" w:hint="eastAsia"/>
                <w:sz w:val="24"/>
              </w:rPr>
              <w:t>职业责任保险、职业风险基金等制度及实施情况</w:t>
            </w:r>
            <w:r>
              <w:rPr>
                <w:rFonts w:ascii="宋体" w:eastAsia="宋体" w:hAnsi="宋体" w:cs="宋体" w:hint="eastAsia"/>
                <w:spacing w:val="-2"/>
                <w:sz w:val="24"/>
              </w:rPr>
              <w:t>较弱；</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二档（2.1-3分）：</w:t>
            </w:r>
            <w:r>
              <w:rPr>
                <w:rFonts w:ascii="宋体" w:eastAsia="宋体" w:hAnsi="宋体" w:cs="宋体" w:hint="eastAsia"/>
                <w:sz w:val="24"/>
              </w:rPr>
              <w:t>职业责任保险、职业风险基金等制度及实施情况</w:t>
            </w:r>
            <w:r>
              <w:rPr>
                <w:rFonts w:ascii="宋体" w:eastAsia="宋体" w:hAnsi="宋体" w:cs="宋体" w:hint="eastAsia"/>
                <w:spacing w:val="-2"/>
                <w:sz w:val="24"/>
              </w:rPr>
              <w:t>一般；</w:t>
            </w:r>
          </w:p>
          <w:p w:rsidR="00CE74C0" w:rsidRDefault="00835372">
            <w:pPr>
              <w:tabs>
                <w:tab w:val="left" w:pos="1889"/>
                <w:tab w:val="left" w:pos="2309"/>
              </w:tabs>
              <w:kinsoku w:val="0"/>
              <w:overflowPunct w:val="0"/>
              <w:autoSpaceDE w:val="0"/>
              <w:autoSpaceDN w:val="0"/>
              <w:adjustRightInd w:val="0"/>
              <w:spacing w:line="336" w:lineRule="auto"/>
              <w:ind w:firstLineChars="200" w:firstLine="472"/>
              <w:rPr>
                <w:rFonts w:ascii="宋体" w:eastAsia="宋体" w:hAnsi="宋体" w:cs="宋体"/>
                <w:spacing w:val="-2"/>
                <w:sz w:val="24"/>
              </w:rPr>
            </w:pPr>
            <w:r>
              <w:rPr>
                <w:rFonts w:ascii="宋体" w:eastAsia="宋体" w:hAnsi="宋体" w:cs="宋体" w:hint="eastAsia"/>
                <w:spacing w:val="-2"/>
                <w:sz w:val="24"/>
              </w:rPr>
              <w:t>三档（3.1-4分）：</w:t>
            </w:r>
            <w:r>
              <w:rPr>
                <w:rFonts w:ascii="宋体" w:eastAsia="宋体" w:hAnsi="宋体" w:cs="宋体" w:hint="eastAsia"/>
                <w:sz w:val="24"/>
              </w:rPr>
              <w:t>职业责任保险</w:t>
            </w:r>
            <w:bookmarkStart w:id="5" w:name="_GoBack"/>
            <w:bookmarkEnd w:id="5"/>
            <w:r>
              <w:rPr>
                <w:rFonts w:ascii="宋体" w:eastAsia="宋体" w:hAnsi="宋体" w:cs="宋体" w:hint="eastAsia"/>
                <w:sz w:val="24"/>
              </w:rPr>
              <w:t>、职业风险基金等制度及实施情况</w:t>
            </w:r>
            <w:r>
              <w:rPr>
                <w:rFonts w:ascii="宋体" w:eastAsia="宋体" w:hAnsi="宋体" w:cs="宋体" w:hint="eastAsia"/>
                <w:spacing w:val="-2"/>
                <w:sz w:val="24"/>
              </w:rPr>
              <w:t>较强。</w:t>
            </w:r>
          </w:p>
        </w:tc>
      </w:tr>
      <w:tr w:rsidR="00CE74C0">
        <w:trPr>
          <w:trHeight w:val="1142"/>
          <w:jc w:val="center"/>
        </w:trPr>
        <w:tc>
          <w:tcPr>
            <w:tcW w:w="900" w:type="dxa"/>
            <w:vAlign w:val="center"/>
          </w:tcPr>
          <w:p w:rsidR="00CE74C0" w:rsidRDefault="00835372">
            <w:pPr>
              <w:autoSpaceDE w:val="0"/>
              <w:autoSpaceDN w:val="0"/>
              <w:adjustRightInd w:val="0"/>
              <w:spacing w:line="336" w:lineRule="auto"/>
              <w:jc w:val="center"/>
              <w:rPr>
                <w:rFonts w:ascii="宋体" w:eastAsia="宋体" w:hAnsi="宋体" w:cs="宋体"/>
                <w:kern w:val="0"/>
                <w:sz w:val="24"/>
              </w:rPr>
            </w:pPr>
            <w:r>
              <w:rPr>
                <w:rFonts w:ascii="宋体" w:eastAsia="宋体" w:hAnsi="宋体" w:cs="宋体" w:hint="eastAsia"/>
                <w:kern w:val="0"/>
                <w:sz w:val="24"/>
              </w:rPr>
              <w:t>3.2</w:t>
            </w:r>
          </w:p>
          <w:p w:rsidR="00CE74C0" w:rsidRDefault="00835372">
            <w:pPr>
              <w:autoSpaceDE w:val="0"/>
              <w:autoSpaceDN w:val="0"/>
              <w:adjustRightInd w:val="0"/>
              <w:spacing w:line="336" w:lineRule="auto"/>
              <w:jc w:val="center"/>
              <w:rPr>
                <w:rFonts w:ascii="宋体" w:eastAsia="宋体" w:hAnsi="宋体" w:cs="宋体"/>
                <w:kern w:val="0"/>
                <w:sz w:val="24"/>
              </w:rPr>
            </w:pPr>
            <w:r>
              <w:rPr>
                <w:rFonts w:ascii="宋体" w:eastAsia="宋体" w:hAnsi="宋体" w:cs="宋体" w:hint="eastAsia"/>
                <w:kern w:val="0"/>
                <w:sz w:val="24"/>
              </w:rPr>
              <w:t>（3）</w:t>
            </w:r>
          </w:p>
        </w:tc>
        <w:tc>
          <w:tcPr>
            <w:tcW w:w="1123" w:type="dxa"/>
            <w:vAlign w:val="center"/>
          </w:tcPr>
          <w:p w:rsidR="00CE74C0" w:rsidRDefault="00835372">
            <w:pPr>
              <w:autoSpaceDE w:val="0"/>
              <w:autoSpaceDN w:val="0"/>
              <w:adjustRightInd w:val="0"/>
              <w:spacing w:line="336" w:lineRule="auto"/>
              <w:jc w:val="center"/>
              <w:rPr>
                <w:rFonts w:ascii="宋体" w:eastAsia="宋体" w:hAnsi="宋体" w:cs="宋体"/>
                <w:kern w:val="0"/>
                <w:sz w:val="24"/>
              </w:rPr>
            </w:pPr>
            <w:r>
              <w:rPr>
                <w:rFonts w:ascii="宋体" w:eastAsia="宋体" w:hAnsi="宋体" w:cs="宋体" w:hint="eastAsia"/>
                <w:kern w:val="0"/>
                <w:sz w:val="24"/>
              </w:rPr>
              <w:t>报价评审标准（15分）</w:t>
            </w:r>
          </w:p>
        </w:tc>
        <w:tc>
          <w:tcPr>
            <w:tcW w:w="1165" w:type="dxa"/>
            <w:vAlign w:val="center"/>
          </w:tcPr>
          <w:p w:rsidR="00CE74C0" w:rsidRDefault="00835372">
            <w:pPr>
              <w:autoSpaceDE w:val="0"/>
              <w:autoSpaceDN w:val="0"/>
              <w:adjustRightInd w:val="0"/>
              <w:spacing w:line="336" w:lineRule="auto"/>
              <w:jc w:val="center"/>
              <w:rPr>
                <w:rFonts w:ascii="宋体" w:eastAsia="宋体" w:hAnsi="宋体" w:cs="宋体"/>
                <w:kern w:val="0"/>
                <w:sz w:val="24"/>
              </w:rPr>
            </w:pPr>
            <w:r>
              <w:rPr>
                <w:rFonts w:ascii="宋体" w:eastAsia="宋体" w:hAnsi="宋体" w:cs="宋体" w:hint="eastAsia"/>
                <w:sz w:val="24"/>
              </w:rPr>
              <w:t>审计费用报价</w:t>
            </w:r>
            <w:r>
              <w:rPr>
                <w:rFonts w:ascii="宋体" w:eastAsia="宋体" w:hAnsi="宋体" w:cs="宋体" w:hint="eastAsia"/>
                <w:kern w:val="0"/>
                <w:sz w:val="24"/>
              </w:rPr>
              <w:t>计算</w:t>
            </w:r>
          </w:p>
        </w:tc>
        <w:tc>
          <w:tcPr>
            <w:tcW w:w="7208" w:type="dxa"/>
            <w:vAlign w:val="center"/>
          </w:tcPr>
          <w:p w:rsidR="00CE74C0" w:rsidRDefault="00835372">
            <w:pPr>
              <w:tabs>
                <w:tab w:val="left" w:pos="1889"/>
                <w:tab w:val="left" w:pos="2309"/>
              </w:tabs>
              <w:kinsoku w:val="0"/>
              <w:overflowPunct w:val="0"/>
              <w:autoSpaceDE w:val="0"/>
              <w:autoSpaceDN w:val="0"/>
              <w:adjustRightInd w:val="0"/>
              <w:spacing w:line="336" w:lineRule="auto"/>
              <w:rPr>
                <w:rFonts w:ascii="宋体" w:eastAsia="宋体" w:hAnsi="宋体" w:cs="宋体"/>
                <w:spacing w:val="-2"/>
                <w:sz w:val="24"/>
              </w:rPr>
            </w:pPr>
            <w:r>
              <w:rPr>
                <w:rFonts w:ascii="宋体" w:eastAsia="宋体" w:hAnsi="宋体" w:cs="宋体" w:hint="eastAsia"/>
                <w:spacing w:val="-2"/>
                <w:sz w:val="24"/>
              </w:rPr>
              <w:t>基准价：通过初步评审合格的所有报价人总报价的算术平均值。</w:t>
            </w:r>
          </w:p>
          <w:p w:rsidR="00CE74C0" w:rsidRDefault="00835372">
            <w:pPr>
              <w:tabs>
                <w:tab w:val="left" w:pos="1889"/>
                <w:tab w:val="left" w:pos="2309"/>
              </w:tabs>
              <w:kinsoku w:val="0"/>
              <w:overflowPunct w:val="0"/>
              <w:autoSpaceDE w:val="0"/>
              <w:autoSpaceDN w:val="0"/>
              <w:adjustRightInd w:val="0"/>
              <w:spacing w:line="336" w:lineRule="auto"/>
              <w:rPr>
                <w:rFonts w:ascii="宋体" w:eastAsia="宋体" w:hAnsi="宋体" w:cs="宋体"/>
                <w:sz w:val="24"/>
              </w:rPr>
            </w:pPr>
            <w:r>
              <w:rPr>
                <w:rFonts w:ascii="宋体" w:eastAsia="宋体" w:hAnsi="宋体" w:cs="宋体" w:hint="eastAsia"/>
                <w:spacing w:val="-2"/>
                <w:sz w:val="24"/>
              </w:rPr>
              <w:t>报价得分=（1-∣基准价-报价∣/基准价）×15</w:t>
            </w:r>
          </w:p>
        </w:tc>
      </w:tr>
      <w:tr w:rsidR="00CE74C0">
        <w:trPr>
          <w:trHeight w:val="882"/>
          <w:jc w:val="center"/>
        </w:trPr>
        <w:tc>
          <w:tcPr>
            <w:tcW w:w="2023" w:type="dxa"/>
            <w:gridSpan w:val="2"/>
            <w:vAlign w:val="center"/>
          </w:tcPr>
          <w:p w:rsidR="00CE74C0" w:rsidRDefault="00835372">
            <w:pPr>
              <w:autoSpaceDE w:val="0"/>
              <w:autoSpaceDN w:val="0"/>
              <w:adjustRightInd w:val="0"/>
              <w:spacing w:line="336" w:lineRule="auto"/>
              <w:jc w:val="center"/>
              <w:rPr>
                <w:rFonts w:ascii="宋体" w:eastAsia="宋体" w:hAnsi="宋体" w:cs="宋体"/>
                <w:kern w:val="0"/>
                <w:sz w:val="24"/>
              </w:rPr>
            </w:pPr>
            <w:r>
              <w:rPr>
                <w:rFonts w:ascii="宋体" w:eastAsia="宋体" w:hAnsi="宋体" w:cs="宋体" w:hint="eastAsia"/>
                <w:kern w:val="0"/>
                <w:sz w:val="24"/>
              </w:rPr>
              <w:t>综合评价得分</w:t>
            </w:r>
          </w:p>
          <w:p w:rsidR="00CE74C0" w:rsidRDefault="00835372">
            <w:pPr>
              <w:autoSpaceDE w:val="0"/>
              <w:autoSpaceDN w:val="0"/>
              <w:adjustRightInd w:val="0"/>
              <w:spacing w:line="336" w:lineRule="auto"/>
              <w:jc w:val="center"/>
              <w:rPr>
                <w:rFonts w:ascii="宋体" w:eastAsia="宋体" w:hAnsi="宋体" w:cs="宋体"/>
                <w:kern w:val="0"/>
                <w:sz w:val="24"/>
              </w:rPr>
            </w:pPr>
            <w:r>
              <w:rPr>
                <w:rFonts w:ascii="宋体" w:eastAsia="宋体" w:hAnsi="宋体" w:cs="宋体" w:hint="eastAsia"/>
                <w:kern w:val="0"/>
                <w:sz w:val="24"/>
              </w:rPr>
              <w:t>（保留小数点后两位）</w:t>
            </w:r>
          </w:p>
        </w:tc>
        <w:tc>
          <w:tcPr>
            <w:tcW w:w="8373" w:type="dxa"/>
            <w:gridSpan w:val="2"/>
            <w:vAlign w:val="center"/>
          </w:tcPr>
          <w:p w:rsidR="00CE74C0" w:rsidRDefault="00835372">
            <w:pPr>
              <w:autoSpaceDE w:val="0"/>
              <w:autoSpaceDN w:val="0"/>
              <w:adjustRightInd w:val="0"/>
              <w:spacing w:line="336" w:lineRule="auto"/>
              <w:jc w:val="left"/>
              <w:rPr>
                <w:rFonts w:ascii="宋体" w:eastAsia="宋体" w:hAnsi="宋体" w:cs="宋体"/>
                <w:b/>
                <w:kern w:val="0"/>
                <w:sz w:val="24"/>
              </w:rPr>
            </w:pPr>
            <w:r>
              <w:rPr>
                <w:rFonts w:ascii="宋体" w:eastAsia="宋体" w:hAnsi="宋体" w:cs="宋体" w:hint="eastAsia"/>
                <w:b/>
                <w:kern w:val="0"/>
                <w:sz w:val="24"/>
              </w:rPr>
              <w:t>综合评价得分=商务评分+技术评分+报价评分</w:t>
            </w:r>
          </w:p>
        </w:tc>
      </w:tr>
    </w:tbl>
    <w:p w:rsidR="00CE74C0" w:rsidRDefault="00CE74C0">
      <w:pPr>
        <w:widowControl/>
        <w:ind w:firstLineChars="200" w:firstLine="640"/>
        <w:jc w:val="left"/>
        <w:rPr>
          <w:rFonts w:ascii="仿宋_GB2312" w:eastAsia="仿宋_GB2312" w:hAnsi="仿宋_GB2312" w:cs="仿宋_GB2312"/>
          <w:sz w:val="32"/>
          <w:szCs w:val="40"/>
        </w:rPr>
      </w:pPr>
    </w:p>
    <w:p w:rsidR="00CE74C0" w:rsidRDefault="00CE74C0"/>
    <w:p w:rsidR="00CE74C0" w:rsidRDefault="00CE74C0">
      <w:pPr>
        <w:widowControl/>
        <w:spacing w:line="540" w:lineRule="exact"/>
        <w:ind w:firstLineChars="200" w:firstLine="640"/>
        <w:jc w:val="right"/>
        <w:rPr>
          <w:rFonts w:ascii="仿宋_GB2312" w:eastAsia="仿宋_GB2312" w:hAnsi="仿宋_GB2312" w:cs="仿宋_GB2312"/>
          <w:sz w:val="32"/>
          <w:szCs w:val="40"/>
        </w:rPr>
      </w:pPr>
    </w:p>
    <w:sectPr w:rsidR="00CE74C0" w:rsidSect="00CE74C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5142" w:rsidRDefault="00945142" w:rsidP="00CE74C0">
      <w:r>
        <w:separator/>
      </w:r>
    </w:p>
  </w:endnote>
  <w:endnote w:type="continuationSeparator" w:id="0">
    <w:p w:rsidR="00945142" w:rsidRDefault="00945142" w:rsidP="00CE74C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84162072"/>
    </w:sdtPr>
    <w:sdtContent>
      <w:p w:rsidR="00CE74C0" w:rsidRDefault="0079285F">
        <w:pPr>
          <w:pStyle w:val="a6"/>
          <w:jc w:val="center"/>
        </w:pPr>
        <w:r>
          <w:fldChar w:fldCharType="begin"/>
        </w:r>
        <w:r w:rsidR="00835372">
          <w:instrText>PAGE   \* MERGEFORMAT</w:instrText>
        </w:r>
        <w:r>
          <w:fldChar w:fldCharType="separate"/>
        </w:r>
        <w:r w:rsidR="00487146" w:rsidRPr="00487146">
          <w:rPr>
            <w:noProof/>
            <w:lang w:val="zh-CN"/>
          </w:rPr>
          <w:t>1</w:t>
        </w:r>
        <w:r>
          <w:fldChar w:fldCharType="end"/>
        </w:r>
      </w:p>
    </w:sdtContent>
  </w:sdt>
  <w:p w:rsidR="00CE74C0" w:rsidRDefault="00CE74C0">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5142" w:rsidRDefault="00945142" w:rsidP="00CE74C0">
      <w:r>
        <w:separator/>
      </w:r>
    </w:p>
  </w:footnote>
  <w:footnote w:type="continuationSeparator" w:id="0">
    <w:p w:rsidR="00945142" w:rsidRDefault="00945142" w:rsidP="00CE74C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B362E8"/>
    <w:multiLevelType w:val="singleLevel"/>
    <w:tmpl w:val="26B362E8"/>
    <w:lvl w:ilvl="0">
      <w:start w:val="1"/>
      <w:numFmt w:val="decimal"/>
      <w:lvlText w:val="%1."/>
      <w:lvlJc w:val="left"/>
      <w:pPr>
        <w:tabs>
          <w:tab w:val="left" w:pos="312"/>
        </w:tabs>
      </w:pPr>
    </w:lvl>
  </w:abstractNum>
  <w:abstractNum w:abstractNumId="1">
    <w:nsid w:val="2E0A4E51"/>
    <w:multiLevelType w:val="singleLevel"/>
    <w:tmpl w:val="2E0A4E51"/>
    <w:lvl w:ilvl="0">
      <w:start w:val="1"/>
      <w:numFmt w:val="decimal"/>
      <w:suff w:val="nothing"/>
      <w:lvlText w:val="%1、"/>
      <w:lvlJc w:val="left"/>
    </w:lvl>
  </w:abstractNum>
  <w:abstractNum w:abstractNumId="2">
    <w:nsid w:val="64130FCA"/>
    <w:multiLevelType w:val="singleLevel"/>
    <w:tmpl w:val="64130FCA"/>
    <w:lvl w:ilvl="0">
      <w:start w:val="1"/>
      <w:numFmt w:val="chineseCounting"/>
      <w:suff w:val="nothing"/>
      <w:lvlText w:val="%1、"/>
      <w:lvlJc w:val="left"/>
      <w:pPr>
        <w:ind w:left="0" w:firstLine="420"/>
      </w:pPr>
      <w:rPr>
        <w:rFonts w:hint="eastAsia"/>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jQ5NzMwMGZmN2JiZWM3ODc1NjMyYjk1ODQ3YTI5NDMifQ=="/>
  </w:docVars>
  <w:rsids>
    <w:rsidRoot w:val="70F229A0"/>
    <w:rsid w:val="00036C92"/>
    <w:rsid w:val="00066992"/>
    <w:rsid w:val="00077757"/>
    <w:rsid w:val="000A2C07"/>
    <w:rsid w:val="000A5A8C"/>
    <w:rsid w:val="000D0235"/>
    <w:rsid w:val="000D7575"/>
    <w:rsid w:val="000E2112"/>
    <w:rsid w:val="0010081C"/>
    <w:rsid w:val="001019EE"/>
    <w:rsid w:val="00134CC7"/>
    <w:rsid w:val="001929F4"/>
    <w:rsid w:val="0023073C"/>
    <w:rsid w:val="00244A96"/>
    <w:rsid w:val="00262098"/>
    <w:rsid w:val="002915F6"/>
    <w:rsid w:val="00320BE9"/>
    <w:rsid w:val="00326158"/>
    <w:rsid w:val="00343DDC"/>
    <w:rsid w:val="00356841"/>
    <w:rsid w:val="003A34CF"/>
    <w:rsid w:val="003D2F42"/>
    <w:rsid w:val="003E402B"/>
    <w:rsid w:val="003F3E69"/>
    <w:rsid w:val="004171E9"/>
    <w:rsid w:val="0043110B"/>
    <w:rsid w:val="00433A62"/>
    <w:rsid w:val="00433A6E"/>
    <w:rsid w:val="00487146"/>
    <w:rsid w:val="0051238C"/>
    <w:rsid w:val="0053547A"/>
    <w:rsid w:val="00562FEF"/>
    <w:rsid w:val="00581900"/>
    <w:rsid w:val="0058755E"/>
    <w:rsid w:val="005B661A"/>
    <w:rsid w:val="005E484F"/>
    <w:rsid w:val="006008F9"/>
    <w:rsid w:val="006042E0"/>
    <w:rsid w:val="006150FB"/>
    <w:rsid w:val="00621582"/>
    <w:rsid w:val="006436B8"/>
    <w:rsid w:val="00655EFB"/>
    <w:rsid w:val="00667735"/>
    <w:rsid w:val="006977F1"/>
    <w:rsid w:val="006A7107"/>
    <w:rsid w:val="006C1947"/>
    <w:rsid w:val="006E4A30"/>
    <w:rsid w:val="00705820"/>
    <w:rsid w:val="00715A84"/>
    <w:rsid w:val="00731E50"/>
    <w:rsid w:val="00734C62"/>
    <w:rsid w:val="0073532C"/>
    <w:rsid w:val="00740DAB"/>
    <w:rsid w:val="00782DF0"/>
    <w:rsid w:val="0079285F"/>
    <w:rsid w:val="00794F8E"/>
    <w:rsid w:val="007C1507"/>
    <w:rsid w:val="007E713D"/>
    <w:rsid w:val="00811A7A"/>
    <w:rsid w:val="00822C12"/>
    <w:rsid w:val="00835372"/>
    <w:rsid w:val="00872A32"/>
    <w:rsid w:val="00883C3D"/>
    <w:rsid w:val="00885104"/>
    <w:rsid w:val="008C53A8"/>
    <w:rsid w:val="008C61EE"/>
    <w:rsid w:val="00903A4C"/>
    <w:rsid w:val="009343C6"/>
    <w:rsid w:val="00945142"/>
    <w:rsid w:val="00946B11"/>
    <w:rsid w:val="009B0D8D"/>
    <w:rsid w:val="009F70C0"/>
    <w:rsid w:val="00A10AFB"/>
    <w:rsid w:val="00A41206"/>
    <w:rsid w:val="00A5212F"/>
    <w:rsid w:val="00A57E91"/>
    <w:rsid w:val="00AA2490"/>
    <w:rsid w:val="00AE3EC6"/>
    <w:rsid w:val="00B63824"/>
    <w:rsid w:val="00C07887"/>
    <w:rsid w:val="00C23349"/>
    <w:rsid w:val="00C45E7F"/>
    <w:rsid w:val="00C67B85"/>
    <w:rsid w:val="00C80D0A"/>
    <w:rsid w:val="00C80DCA"/>
    <w:rsid w:val="00CA4C32"/>
    <w:rsid w:val="00CA5087"/>
    <w:rsid w:val="00CE0C8D"/>
    <w:rsid w:val="00CE1DDD"/>
    <w:rsid w:val="00CE74C0"/>
    <w:rsid w:val="00CF6A78"/>
    <w:rsid w:val="00D30919"/>
    <w:rsid w:val="00D41F92"/>
    <w:rsid w:val="00D736C7"/>
    <w:rsid w:val="00D73F01"/>
    <w:rsid w:val="00DD3298"/>
    <w:rsid w:val="00DE2F03"/>
    <w:rsid w:val="00E24B8C"/>
    <w:rsid w:val="00E47D7A"/>
    <w:rsid w:val="00EA0436"/>
    <w:rsid w:val="00EA42C7"/>
    <w:rsid w:val="00F26FD7"/>
    <w:rsid w:val="00F47D08"/>
    <w:rsid w:val="00F71FA1"/>
    <w:rsid w:val="00FC1975"/>
    <w:rsid w:val="00FE3330"/>
    <w:rsid w:val="00FE703D"/>
    <w:rsid w:val="00FE7B4C"/>
    <w:rsid w:val="01A56261"/>
    <w:rsid w:val="03196152"/>
    <w:rsid w:val="03B21EBA"/>
    <w:rsid w:val="07547E16"/>
    <w:rsid w:val="08163A15"/>
    <w:rsid w:val="0CA439C3"/>
    <w:rsid w:val="0FF41B83"/>
    <w:rsid w:val="119D0D03"/>
    <w:rsid w:val="12555A81"/>
    <w:rsid w:val="14457551"/>
    <w:rsid w:val="157E75CB"/>
    <w:rsid w:val="16360897"/>
    <w:rsid w:val="18563A7B"/>
    <w:rsid w:val="18FD18E1"/>
    <w:rsid w:val="1C4272E3"/>
    <w:rsid w:val="1CC655B2"/>
    <w:rsid w:val="1DDF4451"/>
    <w:rsid w:val="1DFE0D7B"/>
    <w:rsid w:val="21380A48"/>
    <w:rsid w:val="23BA1BE8"/>
    <w:rsid w:val="27547C5E"/>
    <w:rsid w:val="27A906A5"/>
    <w:rsid w:val="2BA56CDA"/>
    <w:rsid w:val="2E23272F"/>
    <w:rsid w:val="2E5E5562"/>
    <w:rsid w:val="2FF344B8"/>
    <w:rsid w:val="300C37CC"/>
    <w:rsid w:val="32494863"/>
    <w:rsid w:val="335C05C6"/>
    <w:rsid w:val="34670FD0"/>
    <w:rsid w:val="35AF0E81"/>
    <w:rsid w:val="362E3D9F"/>
    <w:rsid w:val="3DB71E31"/>
    <w:rsid w:val="3E872422"/>
    <w:rsid w:val="3E8B7FB1"/>
    <w:rsid w:val="3F3C12AC"/>
    <w:rsid w:val="42CA554C"/>
    <w:rsid w:val="46FB24E9"/>
    <w:rsid w:val="47D0588C"/>
    <w:rsid w:val="4D0A425F"/>
    <w:rsid w:val="4DCE6ADC"/>
    <w:rsid w:val="4E98674F"/>
    <w:rsid w:val="54B05860"/>
    <w:rsid w:val="558A68D8"/>
    <w:rsid w:val="58D00F8B"/>
    <w:rsid w:val="5B33135D"/>
    <w:rsid w:val="5CA2679A"/>
    <w:rsid w:val="5F3A0F0C"/>
    <w:rsid w:val="636429FB"/>
    <w:rsid w:val="668C1265"/>
    <w:rsid w:val="671426B1"/>
    <w:rsid w:val="67957627"/>
    <w:rsid w:val="6ADC556D"/>
    <w:rsid w:val="6B7B2FD8"/>
    <w:rsid w:val="6CCE0EE6"/>
    <w:rsid w:val="709D6585"/>
    <w:rsid w:val="70F229A0"/>
    <w:rsid w:val="7206368B"/>
    <w:rsid w:val="741C4C2C"/>
    <w:rsid w:val="785726D7"/>
    <w:rsid w:val="7C776EA4"/>
    <w:rsid w:val="7D8F021D"/>
    <w:rsid w:val="7E92621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E74C0"/>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uiPriority w:val="9"/>
    <w:qFormat/>
    <w:rsid w:val="00CE74C0"/>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3">
    <w:name w:val="heading 3"/>
    <w:basedOn w:val="a"/>
    <w:next w:val="a"/>
    <w:link w:val="3Char"/>
    <w:semiHidden/>
    <w:unhideWhenUsed/>
    <w:qFormat/>
    <w:rsid w:val="00CE74C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CE74C0"/>
    <w:pPr>
      <w:ind w:firstLine="420"/>
    </w:pPr>
  </w:style>
  <w:style w:type="paragraph" w:styleId="a4">
    <w:name w:val="Plain Text"/>
    <w:basedOn w:val="a"/>
    <w:link w:val="Char"/>
    <w:qFormat/>
    <w:rsid w:val="00CE74C0"/>
    <w:rPr>
      <w:rFonts w:ascii="宋体" w:hAnsi="Courier New"/>
      <w:szCs w:val="21"/>
    </w:rPr>
  </w:style>
  <w:style w:type="paragraph" w:styleId="a5">
    <w:name w:val="Balloon Text"/>
    <w:basedOn w:val="a"/>
    <w:link w:val="Char0"/>
    <w:qFormat/>
    <w:rsid w:val="00CE74C0"/>
    <w:rPr>
      <w:sz w:val="18"/>
      <w:szCs w:val="18"/>
    </w:rPr>
  </w:style>
  <w:style w:type="paragraph" w:styleId="a6">
    <w:name w:val="footer"/>
    <w:basedOn w:val="a"/>
    <w:link w:val="Char1"/>
    <w:uiPriority w:val="99"/>
    <w:qFormat/>
    <w:rsid w:val="00CE74C0"/>
    <w:pPr>
      <w:tabs>
        <w:tab w:val="center" w:pos="4153"/>
        <w:tab w:val="right" w:pos="8306"/>
      </w:tabs>
      <w:snapToGrid w:val="0"/>
      <w:jc w:val="left"/>
    </w:pPr>
    <w:rPr>
      <w:sz w:val="18"/>
    </w:rPr>
  </w:style>
  <w:style w:type="paragraph" w:styleId="a7">
    <w:name w:val="header"/>
    <w:basedOn w:val="a"/>
    <w:qFormat/>
    <w:rsid w:val="00CE74C0"/>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10">
    <w:name w:val="修订1"/>
    <w:hidden/>
    <w:uiPriority w:val="99"/>
    <w:unhideWhenUsed/>
    <w:qFormat/>
    <w:rsid w:val="00CE74C0"/>
    <w:rPr>
      <w:rFonts w:asciiTheme="minorHAnsi" w:eastAsiaTheme="minorEastAsia" w:hAnsiTheme="minorHAnsi" w:cstheme="minorBidi"/>
      <w:kern w:val="2"/>
      <w:sz w:val="21"/>
      <w:szCs w:val="24"/>
    </w:rPr>
  </w:style>
  <w:style w:type="character" w:customStyle="1" w:styleId="1Char">
    <w:name w:val="标题 1 Char"/>
    <w:basedOn w:val="a0"/>
    <w:link w:val="1"/>
    <w:uiPriority w:val="9"/>
    <w:qFormat/>
    <w:rsid w:val="00CE74C0"/>
    <w:rPr>
      <w:b/>
      <w:bCs/>
      <w:kern w:val="44"/>
      <w:sz w:val="44"/>
      <w:szCs w:val="44"/>
    </w:rPr>
  </w:style>
  <w:style w:type="paragraph" w:styleId="a8">
    <w:name w:val="List Paragraph"/>
    <w:basedOn w:val="a"/>
    <w:uiPriority w:val="99"/>
    <w:unhideWhenUsed/>
    <w:qFormat/>
    <w:rsid w:val="00CE74C0"/>
    <w:pPr>
      <w:ind w:firstLineChars="200" w:firstLine="420"/>
    </w:pPr>
  </w:style>
  <w:style w:type="character" w:customStyle="1" w:styleId="Char">
    <w:name w:val="纯文本 Char"/>
    <w:basedOn w:val="a0"/>
    <w:link w:val="a4"/>
    <w:qFormat/>
    <w:rsid w:val="00CE74C0"/>
    <w:rPr>
      <w:rFonts w:ascii="宋体" w:eastAsiaTheme="minorEastAsia" w:hAnsi="Courier New" w:cstheme="minorBidi"/>
      <w:kern w:val="2"/>
      <w:sz w:val="21"/>
      <w:szCs w:val="21"/>
    </w:rPr>
  </w:style>
  <w:style w:type="paragraph" w:customStyle="1" w:styleId="Default">
    <w:name w:val="Default"/>
    <w:uiPriority w:val="99"/>
    <w:qFormat/>
    <w:rsid w:val="00CE74C0"/>
    <w:pPr>
      <w:widowControl w:val="0"/>
      <w:autoSpaceDE w:val="0"/>
      <w:autoSpaceDN w:val="0"/>
      <w:adjustRightInd w:val="0"/>
    </w:pPr>
    <w:rPr>
      <w:rFonts w:ascii="宋体" w:hAnsi="Calibri" w:cs="宋体"/>
      <w:color w:val="000000"/>
      <w:sz w:val="24"/>
      <w:szCs w:val="24"/>
    </w:rPr>
  </w:style>
  <w:style w:type="character" w:customStyle="1" w:styleId="Char1">
    <w:name w:val="页脚 Char"/>
    <w:basedOn w:val="a0"/>
    <w:link w:val="a6"/>
    <w:uiPriority w:val="99"/>
    <w:qFormat/>
    <w:rsid w:val="00CE74C0"/>
    <w:rPr>
      <w:rFonts w:asciiTheme="minorHAnsi" w:eastAsiaTheme="minorEastAsia" w:hAnsiTheme="minorHAnsi" w:cstheme="minorBidi"/>
      <w:kern w:val="2"/>
      <w:sz w:val="18"/>
      <w:szCs w:val="24"/>
    </w:rPr>
  </w:style>
  <w:style w:type="paragraph" w:customStyle="1" w:styleId="a9">
    <w:name w:val="_正文段落"/>
    <w:basedOn w:val="a"/>
    <w:qFormat/>
    <w:rsid w:val="00CE74C0"/>
    <w:pPr>
      <w:widowControl/>
      <w:spacing w:beforeLines="15" w:line="360" w:lineRule="auto"/>
      <w:ind w:firstLineChars="200" w:firstLine="200"/>
      <w:jc w:val="left"/>
    </w:pPr>
    <w:rPr>
      <w:kern w:val="0"/>
      <w:sz w:val="20"/>
      <w:szCs w:val="21"/>
    </w:rPr>
  </w:style>
  <w:style w:type="paragraph" w:customStyle="1" w:styleId="2">
    <w:name w:val="修订2"/>
    <w:hidden/>
    <w:uiPriority w:val="99"/>
    <w:unhideWhenUsed/>
    <w:qFormat/>
    <w:rsid w:val="00CE74C0"/>
    <w:rPr>
      <w:rFonts w:asciiTheme="minorHAnsi" w:eastAsiaTheme="minorEastAsia" w:hAnsiTheme="minorHAnsi" w:cstheme="minorBidi"/>
      <w:kern w:val="2"/>
      <w:sz w:val="21"/>
      <w:szCs w:val="24"/>
    </w:rPr>
  </w:style>
  <w:style w:type="character" w:customStyle="1" w:styleId="3Char">
    <w:name w:val="标题 3 Char"/>
    <w:basedOn w:val="a0"/>
    <w:link w:val="3"/>
    <w:semiHidden/>
    <w:qFormat/>
    <w:rsid w:val="00CE74C0"/>
    <w:rPr>
      <w:rFonts w:asciiTheme="minorHAnsi" w:eastAsiaTheme="minorEastAsia" w:hAnsiTheme="minorHAnsi" w:cstheme="minorBidi"/>
      <w:b/>
      <w:bCs/>
      <w:kern w:val="2"/>
      <w:sz w:val="32"/>
      <w:szCs w:val="32"/>
    </w:rPr>
  </w:style>
  <w:style w:type="character" w:customStyle="1" w:styleId="Char0">
    <w:name w:val="批注框文本 Char"/>
    <w:basedOn w:val="a0"/>
    <w:link w:val="a5"/>
    <w:qFormat/>
    <w:rsid w:val="00CE74C0"/>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EE65FF-999C-443C-BF12-967CF45061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363</Words>
  <Characters>2071</Characters>
  <Application>Microsoft Office Word</Application>
  <DocSecurity>0</DocSecurity>
  <Lines>17</Lines>
  <Paragraphs>4</Paragraphs>
  <ScaleCrop>false</ScaleCrop>
  <Company/>
  <LinksUpToDate>false</LinksUpToDate>
  <CharactersWithSpaces>2430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徐冰</cp:lastModifiedBy>
  <cp:revision>3</cp:revision>
  <cp:lastPrinted>2024-09-27T08:25:00Z</cp:lastPrinted>
  <dcterms:created xsi:type="dcterms:W3CDTF">2024-10-14T12:10:00Z</dcterms:created>
  <dcterms:modified xsi:type="dcterms:W3CDTF">2024-10-14T12:13:00Z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AB4C5396DE184DAD8052E7A60CE4E7F4_13</vt:lpwstr>
  </property>
</Properties>
</file>